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58A2D">
      <w:pPr>
        <w:pStyle w:val="2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隆昌市中医医院</w:t>
      </w:r>
    </w:p>
    <w:p w14:paraId="46026CBA">
      <w:pPr>
        <w:pStyle w:val="2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医保DRG精细化管理系统维护服务</w:t>
      </w:r>
    </w:p>
    <w:p w14:paraId="7EF47ED1">
      <w:pPr>
        <w:pStyle w:val="2"/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一、服务清单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227"/>
        <w:gridCol w:w="1293"/>
        <w:gridCol w:w="1320"/>
        <w:gridCol w:w="1267"/>
        <w:gridCol w:w="986"/>
      </w:tblGrid>
      <w:tr w14:paraId="6E8E6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01" w:type="dxa"/>
            <w:vAlign w:val="center"/>
          </w:tcPr>
          <w:p w14:paraId="7E3FFF5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227" w:type="dxa"/>
            <w:vAlign w:val="center"/>
          </w:tcPr>
          <w:p w14:paraId="2499FF7D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1293" w:type="dxa"/>
            <w:vAlign w:val="center"/>
          </w:tcPr>
          <w:p w14:paraId="20AE3C62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1320" w:type="dxa"/>
            <w:vAlign w:val="center"/>
          </w:tcPr>
          <w:p w14:paraId="7E72B314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67" w:type="dxa"/>
            <w:vAlign w:val="center"/>
          </w:tcPr>
          <w:p w14:paraId="617FE8C7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986" w:type="dxa"/>
            <w:vAlign w:val="center"/>
          </w:tcPr>
          <w:p w14:paraId="64D4E573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14:paraId="6E963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01" w:type="dxa"/>
            <w:vAlign w:val="center"/>
          </w:tcPr>
          <w:p w14:paraId="59F51F78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227" w:type="dxa"/>
            <w:vAlign w:val="center"/>
          </w:tcPr>
          <w:p w14:paraId="590C94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医保DRG医院智慧</w:t>
            </w:r>
          </w:p>
          <w:p w14:paraId="56F16883">
            <w:pPr>
              <w:jc w:val="center"/>
            </w:pPr>
            <w:r>
              <w:rPr>
                <w:rFonts w:hint="eastAsia"/>
              </w:rPr>
              <w:t>运营系统维护服务</w:t>
            </w:r>
          </w:p>
        </w:tc>
        <w:tc>
          <w:tcPr>
            <w:tcW w:w="1293" w:type="dxa"/>
            <w:vAlign w:val="center"/>
          </w:tcPr>
          <w:p w14:paraId="65A73CC8">
            <w:pPr>
              <w:jc w:val="center"/>
              <w:rPr>
                <w:rFonts w:hint="eastAsia" w:eastAsiaTheme="minorEastAsia"/>
              </w:rPr>
            </w:pPr>
            <w:r>
              <w:rPr>
                <w:rFonts w:hint="eastAsia"/>
              </w:rPr>
              <w:t>V2.6</w:t>
            </w:r>
          </w:p>
        </w:tc>
        <w:tc>
          <w:tcPr>
            <w:tcW w:w="1320" w:type="dxa"/>
            <w:vAlign w:val="center"/>
          </w:tcPr>
          <w:p w14:paraId="312F58FE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67" w:type="dxa"/>
            <w:vAlign w:val="center"/>
          </w:tcPr>
          <w:p w14:paraId="7DB26881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项</w:t>
            </w:r>
          </w:p>
        </w:tc>
        <w:tc>
          <w:tcPr>
            <w:tcW w:w="986" w:type="dxa"/>
            <w:vAlign w:val="center"/>
          </w:tcPr>
          <w:p w14:paraId="76262E53">
            <w:pPr>
              <w:jc w:val="center"/>
            </w:pPr>
          </w:p>
        </w:tc>
      </w:tr>
    </w:tbl>
    <w:p w14:paraId="17C91208">
      <w:pPr>
        <w:pStyle w:val="2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二、服务需求</w:t>
      </w:r>
    </w:p>
    <w:tbl>
      <w:tblPr>
        <w:tblStyle w:val="7"/>
        <w:tblW w:w="8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8"/>
        <w:gridCol w:w="1493"/>
      </w:tblGrid>
      <w:tr w14:paraId="2241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8" w:type="dxa"/>
          </w:tcPr>
          <w:p w14:paraId="4EE0A444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服务内容</w:t>
            </w:r>
          </w:p>
        </w:tc>
        <w:tc>
          <w:tcPr>
            <w:tcW w:w="1493" w:type="dxa"/>
          </w:tcPr>
          <w:p w14:paraId="4DDFE75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服务期限</w:t>
            </w:r>
          </w:p>
        </w:tc>
      </w:tr>
      <w:tr w14:paraId="45BF5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5" w:hRule="atLeast"/>
        </w:trPr>
        <w:tc>
          <w:tcPr>
            <w:tcW w:w="7248" w:type="dxa"/>
          </w:tcPr>
          <w:p w14:paraId="679F8B87">
            <w:pPr>
              <w:spacing w:line="30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（一）升级服务内容</w:t>
            </w:r>
          </w:p>
          <w:tbl>
            <w:tblPr>
              <w:tblStyle w:val="7"/>
              <w:tblW w:w="4998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38"/>
              <w:gridCol w:w="1202"/>
              <w:gridCol w:w="3689"/>
              <w:gridCol w:w="1390"/>
            </w:tblGrid>
            <w:tr w14:paraId="7FCB7C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6" w:type="pct"/>
                </w:tcPr>
                <w:p w14:paraId="3F5C98E4">
                  <w:pPr>
                    <w:jc w:val="center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序号</w:t>
                  </w:r>
                </w:p>
              </w:tc>
              <w:tc>
                <w:tcPr>
                  <w:tcW w:w="856" w:type="pct"/>
                </w:tcPr>
                <w:p w14:paraId="5E622E6E">
                  <w:pPr>
                    <w:jc w:val="center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服务要求</w:t>
                  </w:r>
                </w:p>
              </w:tc>
              <w:tc>
                <w:tcPr>
                  <w:tcW w:w="2628" w:type="pct"/>
                </w:tcPr>
                <w:p w14:paraId="779C165D">
                  <w:pPr>
                    <w:jc w:val="center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服务内容</w:t>
                  </w:r>
                </w:p>
              </w:tc>
              <w:tc>
                <w:tcPr>
                  <w:tcW w:w="990" w:type="pct"/>
                </w:tcPr>
                <w:p w14:paraId="3A12D6E9">
                  <w:pPr>
                    <w:jc w:val="center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输出文档</w:t>
                  </w:r>
                </w:p>
              </w:tc>
            </w:tr>
            <w:tr w14:paraId="338289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6" w:type="pct"/>
                  <w:vAlign w:val="center"/>
                </w:tcPr>
                <w:p w14:paraId="3C73AB11">
                  <w:pP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1</w:t>
                  </w:r>
                </w:p>
              </w:tc>
              <w:tc>
                <w:tcPr>
                  <w:tcW w:w="856" w:type="pct"/>
                  <w:vAlign w:val="center"/>
                </w:tcPr>
                <w:p w14:paraId="3C767521">
                  <w:pPr>
                    <w:rPr>
                      <w:rFonts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DRG分组</w:t>
                  </w:r>
                  <w:r>
                    <w:rPr>
                      <w:rFonts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优化</w:t>
                  </w:r>
                </w:p>
              </w:tc>
              <w:tc>
                <w:tcPr>
                  <w:tcW w:w="2628" w:type="pct"/>
                  <w:vAlign w:val="center"/>
                </w:tcPr>
                <w:p w14:paraId="2778578B">
                  <w:pPr>
                    <w:widowControl/>
                    <w:jc w:val="left"/>
                    <w:rPr>
                      <w:rFonts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lang w:bidi="ar"/>
                    </w:rPr>
                    <w:t>1、遵循《国家医疗保障局印发疾病诊断相关分组（DRG）付费国家试点技术规范和和分组方案》和各地下发的地区分组方案 2、内置分组器版本遵循国家CHS-DRG分组器（含CHS-DRG1.0、CHS-DRG1.1、CHS-DRG2.0版本等），通过分组优化和本地化付费政策动态调整，保障DRG结算预测准确 （1）结合临床医学知识和统计学原理，构建大数据算法训练规则并反推分组逻辑和分组规则 （2）基于自研自适应算法，利用月度结算反馈单识别规则变化并达到规则本地化适配，适配后一致率达95% 。</w:t>
                  </w:r>
                </w:p>
              </w:tc>
              <w:tc>
                <w:tcPr>
                  <w:tcW w:w="990" w:type="pct"/>
                  <w:vAlign w:val="center"/>
                </w:tcPr>
                <w:p w14:paraId="4EC34031">
                  <w:pPr>
                    <w:rPr>
                      <w:rFonts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/</w:t>
                  </w:r>
                </w:p>
              </w:tc>
            </w:tr>
            <w:tr w14:paraId="47D808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6" w:type="pct"/>
                </w:tcPr>
                <w:p w14:paraId="31E928BD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2</w:t>
                  </w:r>
                </w:p>
              </w:tc>
              <w:tc>
                <w:tcPr>
                  <w:tcW w:w="856" w:type="pct"/>
                </w:tcPr>
                <w:p w14:paraId="58CCA18B">
                  <w:pPr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/>
                      <w:sz w:val="24"/>
                    </w:rPr>
                    <w:t>DRG系统升级服务</w:t>
                  </w:r>
                </w:p>
              </w:tc>
              <w:tc>
                <w:tcPr>
                  <w:tcW w:w="2628" w:type="pct"/>
                </w:tcPr>
                <w:p w14:paraId="3D5E24E4">
                  <w:pPr>
                    <w:numPr>
                      <w:ilvl w:val="0"/>
                      <w:numId w:val="1"/>
                    </w:numPr>
                    <w:jc w:val="left"/>
                    <w:rPr>
                      <w:rFonts w:ascii="宋体" w:hAnsi="宋体" w:cs="宋体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药占比逻辑调整，支持根据地方政</w:t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t>配置</w:t>
                  </w: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是否包含中药饮片</w:t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t>；</w:t>
                  </w:r>
                </w:p>
                <w:p w14:paraId="5FBA1F09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病组数改为可配置是否剔除</w:t>
                  </w:r>
                  <w:r>
                    <w:rPr>
                      <w:rFonts w:ascii="宋体" w:hAnsi="宋体"/>
                      <w:sz w:val="24"/>
                      <w:lang w:bidi="ar"/>
                    </w:rPr>
                    <w:t>QY</w:t>
                  </w: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组</w:t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t>、</w:t>
                  </w: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新增组</w:t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t>；</w:t>
                  </w:r>
                </w:p>
                <w:p w14:paraId="02457ECE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新增结付率指标；</w:t>
                  </w:r>
                </w:p>
                <w:p w14:paraId="3F1E52D8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病例数据预测时根据患者所属统筹区，调用不同分组器、维表、政策包进行测算；</w:t>
                  </w:r>
                </w:p>
                <w:p w14:paraId="095CF02E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增加病组数计算口径配置；</w:t>
                  </w:r>
                </w:p>
                <w:p w14:paraId="4D76D8AC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给予临床、管理科室更丰富的分组建议，方便使用者更直观查看单病例结余；</w:t>
                  </w:r>
                </w:p>
                <w:p w14:paraId="63630EA8">
                  <w:pPr>
                    <w:jc w:val="left"/>
                    <w:rPr>
                      <w:rFonts w:hint="eastAsia" w:ascii="宋体" w:hAnsi="宋体" w:cs="宋体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当分组器</w:t>
                  </w:r>
                  <w:r>
                    <w:rPr>
                      <w:rFonts w:ascii="宋体" w:hAnsi="宋体"/>
                      <w:sz w:val="24"/>
                      <w:lang w:bidi="ar"/>
                    </w:rPr>
                    <w:t>/</w:t>
                  </w: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维表</w:t>
                  </w:r>
                  <w:r>
                    <w:rPr>
                      <w:rFonts w:ascii="宋体" w:hAnsi="宋体"/>
                      <w:sz w:val="24"/>
                      <w:lang w:bidi="ar"/>
                    </w:rPr>
                    <w:t>/</w:t>
                  </w: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政策有大版本迭代时，通过病组对比查询迭代前后的数据变化；</w:t>
                  </w:r>
                </w:p>
                <w:p w14:paraId="6A362A81">
                  <w:pPr>
                    <w:numPr>
                      <w:ilvl w:val="0"/>
                      <w:numId w:val="1"/>
                    </w:numPr>
                    <w:jc w:val="left"/>
                    <w:rPr>
                      <w:rFonts w:ascii="宋体" w:hAnsi="宋体" w:cs="宋体"/>
                      <w:sz w:val="24"/>
                      <w:lang w:bidi="ar"/>
                    </w:rPr>
                  </w:pPr>
                  <w:r>
                    <w:rPr>
                      <w:rFonts w:ascii="宋体" w:hAnsi="宋体" w:cs="宋体"/>
                      <w:sz w:val="24"/>
                      <w:lang w:bidi="ar"/>
                    </w:rPr>
                    <w:t>病例详情页中，支持根据医院的管理需求，自定义配置所要展示的指标及顺序；</w:t>
                  </w:r>
                </w:p>
                <w:p w14:paraId="3B099126">
                  <w:pPr>
                    <w:numPr>
                      <w:ilvl w:val="0"/>
                      <w:numId w:val="1"/>
                    </w:numPr>
                    <w:jc w:val="left"/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ascii="宋体" w:hAnsi="宋体" w:cs="宋体"/>
                      <w:sz w:val="24"/>
                      <w:lang w:bidi="ar"/>
                    </w:rPr>
                    <w:t>新增DRG2.0不作为入组条件的诊断、手术标签展示；</w:t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br w:type="textWrapping"/>
                  </w:r>
                  <w:r>
                    <w:rPr>
                      <w:rFonts w:ascii="宋体" w:hAnsi="宋体" w:cs="宋体"/>
                      <w:sz w:val="24"/>
                      <w:lang w:bidi="ar"/>
                    </w:rPr>
                    <w:t>9. 增加年累计床日判断，能够在系统直接标识年累计床日病例，并进行统计分析。</w:t>
                  </w:r>
                </w:p>
              </w:tc>
              <w:tc>
                <w:tcPr>
                  <w:tcW w:w="990" w:type="pct"/>
                </w:tcPr>
                <w:p w14:paraId="79122310">
                  <w:pPr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/</w:t>
                  </w:r>
                </w:p>
              </w:tc>
            </w:tr>
          </w:tbl>
          <w:p w14:paraId="4C59F99A">
            <w:pPr>
              <w:spacing w:line="30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（二）运维服务内容</w:t>
            </w:r>
          </w:p>
          <w:tbl>
            <w:tblPr>
              <w:tblStyle w:val="6"/>
              <w:tblW w:w="4995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58"/>
              <w:gridCol w:w="1408"/>
              <w:gridCol w:w="3473"/>
              <w:gridCol w:w="1476"/>
            </w:tblGrid>
            <w:tr w14:paraId="1CFF4F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</w:tcPr>
                <w:p w14:paraId="2157B4F3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序号</w:t>
                  </w:r>
                </w:p>
              </w:tc>
              <w:tc>
                <w:tcPr>
                  <w:tcW w:w="1882" w:type="dxa"/>
                </w:tcPr>
                <w:p w14:paraId="3CC5A08D">
                  <w:pPr>
                    <w:widowControl/>
                    <w:jc w:val="left"/>
                    <w:textAlignment w:val="top"/>
                    <w:rPr>
                      <w:rFonts w:hint="eastAsia" w:ascii="宋体" w:hAnsi="宋体" w:cs="宋体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服务要求</w:t>
                  </w:r>
                </w:p>
              </w:tc>
              <w:tc>
                <w:tcPr>
                  <w:tcW w:w="4857" w:type="dxa"/>
                </w:tcPr>
                <w:p w14:paraId="04AD05A3">
                  <w:pPr>
                    <w:widowControl/>
                    <w:jc w:val="left"/>
                    <w:textAlignment w:val="top"/>
                    <w:rPr>
                      <w:rFonts w:hint="eastAsia" w:ascii="宋体" w:hAnsi="宋体" w:cs="宋体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服务内容</w:t>
                  </w:r>
                </w:p>
              </w:tc>
              <w:tc>
                <w:tcPr>
                  <w:tcW w:w="1895" w:type="dxa"/>
                </w:tcPr>
                <w:p w14:paraId="7CBDEB78">
                  <w:pPr>
                    <w:widowControl/>
                    <w:jc w:val="center"/>
                    <w:textAlignment w:val="top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输出文档</w:t>
                  </w:r>
                </w:p>
              </w:tc>
            </w:tr>
            <w:tr w14:paraId="6A9AFD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09A1A900">
                  <w:pPr>
                    <w:jc w:val="center"/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1</w:t>
                  </w:r>
                </w:p>
              </w:tc>
              <w:tc>
                <w:tcPr>
                  <w:tcW w:w="1882" w:type="dxa"/>
                  <w:vAlign w:val="center"/>
                </w:tcPr>
                <w:p w14:paraId="19DD1B1A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月度运维内容</w:t>
                  </w:r>
                </w:p>
              </w:tc>
              <w:tc>
                <w:tcPr>
                  <w:tcW w:w="4857" w:type="dxa"/>
                  <w:vAlign w:val="center"/>
                </w:tcPr>
                <w:p w14:paraId="52656D77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DRG事中预警；DRG运营分析服务；DRG结算管理服务；若远程解决不了，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lang w:bidi="ar"/>
                    </w:rPr>
                    <w:t>4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小时内到达现场，给出相应解决方案并实施服务。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182550D7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《月度运维服务报告》</w:t>
                  </w:r>
                </w:p>
              </w:tc>
            </w:tr>
            <w:tr w14:paraId="5BDB84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56EBD237">
                  <w:pPr>
                    <w:jc w:val="center"/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</w:pPr>
                  <w:r>
                    <w:rPr>
                      <w:rFonts w:hint="eastAsia" w:ascii="宋体" w:hAnsi="宋体" w:cs="宋体"/>
                      <w:snapToGrid w:val="0"/>
                      <w:color w:val="000000"/>
                      <w:kern w:val="28"/>
                      <w:sz w:val="24"/>
                    </w:rPr>
                    <w:t>2</w:t>
                  </w:r>
                </w:p>
              </w:tc>
              <w:tc>
                <w:tcPr>
                  <w:tcW w:w="1882" w:type="dxa"/>
                  <w:vAlign w:val="center"/>
                </w:tcPr>
                <w:p w14:paraId="2FEC5BAD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培训服务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1985D191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 xml:space="preserve">对医院相关部门提供培训 </w:t>
                  </w:r>
                </w:p>
              </w:tc>
              <w:tc>
                <w:tcPr>
                  <w:tcW w:w="1895" w:type="dxa"/>
                  <w:vAlign w:val="center"/>
                </w:tcPr>
                <w:p w14:paraId="3DC579B9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《培训记录单》</w:t>
                  </w:r>
                </w:p>
              </w:tc>
            </w:tr>
            <w:tr w14:paraId="2680BD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0F66ACE4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3</w:t>
                  </w:r>
                </w:p>
              </w:tc>
              <w:tc>
                <w:tcPr>
                  <w:tcW w:w="1882" w:type="dxa"/>
                  <w:vAlign w:val="center"/>
                </w:tcPr>
                <w:p w14:paraId="71034E16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接口开放服务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26D7A917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提供DRG分组信息接口，可支持HIS及医院统一信息化管理集成平台调用</w:t>
                  </w:r>
                </w:p>
              </w:tc>
              <w:tc>
                <w:tcPr>
                  <w:tcW w:w="1895" w:type="dxa"/>
                  <w:vAlign w:val="center"/>
                </w:tcPr>
                <w:p w14:paraId="3A7E9E03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/</w:t>
                  </w:r>
                </w:p>
              </w:tc>
            </w:tr>
            <w:tr w14:paraId="2464CE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3403B31F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4</w:t>
                  </w:r>
                </w:p>
              </w:tc>
              <w:tc>
                <w:tcPr>
                  <w:tcW w:w="1882" w:type="dxa"/>
                  <w:vAlign w:val="center"/>
                </w:tcPr>
                <w:p w14:paraId="0CFB8DAC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产品缺陷修复服务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2976B80F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为客户修改在使用产品过程中发现产品有关的缺陷或错误。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4A7FD03F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根据实际修复生成《产品缺陷修复记录》</w:t>
                  </w:r>
                </w:p>
              </w:tc>
            </w:tr>
            <w:tr w14:paraId="3310B45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4A563831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5</w:t>
                  </w:r>
                </w:p>
              </w:tc>
              <w:tc>
                <w:tcPr>
                  <w:tcW w:w="1882" w:type="dxa"/>
                  <w:vAlign w:val="center"/>
                </w:tcPr>
                <w:p w14:paraId="68B698A0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日常运维服务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400A1063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在服务期内，成立专业的运维服务工作小组协助用户进行日常维护工作；用户业务问题咨询，供应商半小时内响应；如远程服务无法解决需提供现场服务的，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lang w:bidi="ar"/>
                    </w:rPr>
                    <w:t>4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小时内到达现场，24小时内解决故障；提供本地化运营维护服务团队，提供7*24小时的故障处理；沟通用户使用情况，了解用户实际诉求。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5D236CC5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按需生成《运维服务记录单》</w:t>
                  </w:r>
                </w:p>
              </w:tc>
            </w:tr>
            <w:tr w14:paraId="34225EE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22E3EB64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6</w:t>
                  </w:r>
                </w:p>
              </w:tc>
              <w:tc>
                <w:tcPr>
                  <w:tcW w:w="1882" w:type="dxa"/>
                  <w:vAlign w:val="center"/>
                </w:tcPr>
                <w:p w14:paraId="1CCA1720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0"/>
                      <w:lang w:bidi="ar"/>
                    </w:rPr>
                    <w:t>数据治理服务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0FE5D828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提供基础数据错误修正服务，对缺失字段补充完整、格式错误数据标准化处理；记录问题处理过程。</w:t>
                  </w:r>
                </w:p>
                <w:p w14:paraId="7FA22C7A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提供诊断数据问题处理服务明确诊断数据问题（如编码错误、描述不规范）的原因（如编码员操作失误、字典库未更新）及责任方；提供诊断编码校验及修正服务，确保编码与诊断描述匹配。</w:t>
                  </w:r>
                </w:p>
                <w:p w14:paraId="0B913C22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提供手术数据问题处理服务明确手术数据问题（如名称与代码不匹配、记录不完整）的原因（如手术记录系统录入错误、数据关联规则异常）及责任方；提供手术数据关联校验及补全服务，修正名称与代码对应关系。</w:t>
                  </w:r>
                </w:p>
                <w:p w14:paraId="5DBCA8E9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提供费用数据问题处理服务明确费用数据问题（如收费项目与医保编码不匹配、核算错误）的原因（如计费规则调整未同步、传输丢包）及责任方；提供费用数据对账及修正服务，确保与医保编码匹配及医疗总费用、医保结算费用、超支结余准确。</w:t>
                  </w:r>
                </w:p>
                <w:p w14:paraId="29A8D434">
                  <w:pPr>
                    <w:rPr>
                      <w:rFonts w:hint="eastAsia"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提供分组数据问题处理服务明确分组数据问题（如 DRG 分组规则应用错误、结果偏差）的原因（如规则配置错误、原始数据错误）及责任方；提供分组规则校验及数据修正服务，调整规则配置或推动修正原始数据。</w:t>
                  </w:r>
                </w:p>
                <w:p w14:paraId="4CE19566">
                  <w:pPr>
                    <w:widowControl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sz w:val="24"/>
                      <w:lang w:bidi="ar"/>
                    </w:rPr>
                    <w:t>其他数据问题处理服务。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052D40FA">
                  <w:pPr>
                    <w:widowControl/>
                    <w:textAlignment w:val="top"/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/</w:t>
                  </w:r>
                </w:p>
              </w:tc>
            </w:tr>
            <w:tr w14:paraId="763873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259FCAF1">
                  <w:pPr>
                    <w:widowControl/>
                    <w:jc w:val="center"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7</w:t>
                  </w:r>
                </w:p>
              </w:tc>
              <w:tc>
                <w:tcPr>
                  <w:tcW w:w="1882" w:type="dxa"/>
                  <w:vAlign w:val="center"/>
                </w:tcPr>
                <w:p w14:paraId="7E393F29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定期巡检服务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75391043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定期对软件系统进行功能和性能的全面检查，包括但不限于软件功能、权限设置等；定期检查软件系统的运行状态和资源使用情况，包括但不限于CPU使用率、内存利用率、磁盘空间等；定期检查软件系统的异常情况，包括但不限于日志记录、错误信息、警报状态等。分析软件系统的巡检结果，发现问题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2931CAA9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月度《巡检服务记录单》</w:t>
                  </w:r>
                </w:p>
              </w:tc>
            </w:tr>
            <w:tr w14:paraId="51925C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6EB9F20F"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8</w:t>
                  </w:r>
                </w:p>
              </w:tc>
              <w:tc>
                <w:tcPr>
                  <w:tcW w:w="1882" w:type="dxa"/>
                  <w:vAlign w:val="center"/>
                </w:tcPr>
                <w:p w14:paraId="6E88175E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需求响应服务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75F55CF8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在系统使用过程中如用户产生新的需求，投标人应具备有一整套的需求服务体系，投标人需在规定的时间内给予响应，包括：新需求的受理或不受理以及原因的反馈和其他解决方案的反馈。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60FC7E9E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bidi="ar"/>
                    </w:rPr>
                    <w:t>按需生成《需求服务记录单》</w:t>
                  </w:r>
                </w:p>
              </w:tc>
            </w:tr>
            <w:tr w14:paraId="4D26F1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758" w:type="dxa"/>
                  <w:vAlign w:val="center"/>
                </w:tcPr>
                <w:p w14:paraId="76E8D4F7"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9</w:t>
                  </w:r>
                </w:p>
              </w:tc>
              <w:tc>
                <w:tcPr>
                  <w:tcW w:w="1882" w:type="dxa"/>
                  <w:vAlign w:val="center"/>
                </w:tcPr>
                <w:p w14:paraId="5D3EF4E6">
                  <w:pPr>
                    <w:widowControl/>
                    <w:textAlignment w:val="center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技术支援专家服务</w:t>
                  </w:r>
                </w:p>
              </w:tc>
              <w:tc>
                <w:tcPr>
                  <w:tcW w:w="4857" w:type="dxa"/>
                  <w:vAlign w:val="center"/>
                </w:tcPr>
                <w:p w14:paraId="53460E6B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为客户指定专属服务经理，提供技术咨询、故障诊断、故障排除、以及现场支持等具体的技术支持工作，并提供解决措施，对用户投诉做出相应处理。</w:t>
                  </w:r>
                </w:p>
              </w:tc>
              <w:tc>
                <w:tcPr>
                  <w:tcW w:w="1895" w:type="dxa"/>
                  <w:vAlign w:val="center"/>
                </w:tcPr>
                <w:p w14:paraId="41A40A2B">
                  <w:pPr>
                    <w:widowControl/>
                    <w:textAlignment w:val="top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bidi="ar"/>
                    </w:rPr>
                    <w:t>/</w:t>
                  </w:r>
                </w:p>
              </w:tc>
            </w:tr>
          </w:tbl>
          <w:p w14:paraId="763DE3E4">
            <w:pPr>
              <w:spacing w:line="300" w:lineRule="auto"/>
            </w:pPr>
            <w:r>
              <w:rPr>
                <w:rFonts w:hint="eastAsia"/>
              </w:rPr>
              <w:t>（三）运维服务要求</w:t>
            </w:r>
          </w:p>
          <w:tbl>
            <w:tblPr>
              <w:tblStyle w:val="6"/>
              <w:tblW w:w="4998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24"/>
              <w:gridCol w:w="779"/>
              <w:gridCol w:w="1045"/>
              <w:gridCol w:w="4571"/>
            </w:tblGrid>
            <w:tr w14:paraId="305DCAE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shd w:val="clear" w:color="auto" w:fill="D7D7D7"/>
                  <w:vAlign w:val="center"/>
                </w:tcPr>
                <w:p w14:paraId="4AE94040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  <w:t>序号</w:t>
                  </w:r>
                </w:p>
              </w:tc>
              <w:tc>
                <w:tcPr>
                  <w:tcW w:w="2262" w:type="dxa"/>
                  <w:gridSpan w:val="2"/>
                  <w:shd w:val="clear" w:color="auto" w:fill="D7D7D7"/>
                  <w:vAlign w:val="center"/>
                </w:tcPr>
                <w:p w14:paraId="7152BC2D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  <w:t>运维服务项</w:t>
                  </w:r>
                </w:p>
              </w:tc>
              <w:tc>
                <w:tcPr>
                  <w:tcW w:w="6432" w:type="dxa"/>
                  <w:shd w:val="clear" w:color="auto" w:fill="D7D7D7"/>
                  <w:vAlign w:val="center"/>
                </w:tcPr>
                <w:p w14:paraId="0E09FDE4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auto"/>
                      <w:kern w:val="2"/>
                    </w:rPr>
                    <w:t>服务内容</w:t>
                  </w:r>
                </w:p>
              </w:tc>
            </w:tr>
            <w:tr w14:paraId="76FCC9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193DC6CE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1</w:t>
                  </w:r>
                </w:p>
              </w:tc>
              <w:tc>
                <w:tcPr>
                  <w:tcW w:w="2262" w:type="dxa"/>
                  <w:gridSpan w:val="2"/>
                  <w:vAlign w:val="center"/>
                </w:tcPr>
                <w:p w14:paraId="720079DD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服务期</w:t>
                  </w:r>
                </w:p>
              </w:tc>
              <w:tc>
                <w:tcPr>
                  <w:tcW w:w="6432" w:type="dxa"/>
                  <w:vAlign w:val="center"/>
                </w:tcPr>
                <w:p w14:paraId="175019DC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自合同签订之日起提供一年运维服务。</w:t>
                  </w:r>
                </w:p>
              </w:tc>
            </w:tr>
            <w:tr w14:paraId="22E7ED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5ABB4BB9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2</w:t>
                  </w:r>
                </w:p>
              </w:tc>
              <w:tc>
                <w:tcPr>
                  <w:tcW w:w="934" w:type="dxa"/>
                  <w:vMerge w:val="restart"/>
                  <w:vAlign w:val="center"/>
                </w:tcPr>
                <w:p w14:paraId="5E54E66D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日常运维服务</w:t>
                  </w:r>
                </w:p>
              </w:tc>
              <w:tc>
                <w:tcPr>
                  <w:tcW w:w="1328" w:type="dxa"/>
                  <w:vAlign w:val="center"/>
                </w:tcPr>
                <w:p w14:paraId="7A18C4DA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服务人员</w:t>
                  </w:r>
                </w:p>
              </w:tc>
              <w:tc>
                <w:tcPr>
                  <w:tcW w:w="6432" w:type="dxa"/>
                  <w:vAlign w:val="center"/>
                </w:tcPr>
                <w:p w14:paraId="2344D68F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服务期内，投标人应成立不少于2人的专业运维服务团队，以协助用户日常维护工作。</w:t>
                  </w:r>
                </w:p>
              </w:tc>
            </w:tr>
            <w:tr w14:paraId="77E369E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367E52BC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3</w:t>
                  </w:r>
                </w:p>
              </w:tc>
              <w:tc>
                <w:tcPr>
                  <w:tcW w:w="934" w:type="dxa"/>
                  <w:vMerge w:val="continue"/>
                  <w:vAlign w:val="center"/>
                </w:tcPr>
                <w:p w14:paraId="2738BA8F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14:paraId="4659C5A2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服务响应</w:t>
                  </w:r>
                </w:p>
              </w:tc>
              <w:tc>
                <w:tcPr>
                  <w:tcW w:w="6432" w:type="dxa"/>
                  <w:vAlign w:val="center"/>
                </w:tcPr>
                <w:p w14:paraId="7CFFAED7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用户业务问题咨询，投标人</w:t>
                  </w: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半小时内响应；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如远程服务无法解决需提供现场服务的，</w:t>
                  </w: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4小时内到达现场，24小时内解决故障。</w:t>
                  </w:r>
                </w:p>
              </w:tc>
            </w:tr>
            <w:tr w14:paraId="3C57FCD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6A620600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4</w:t>
                  </w:r>
                </w:p>
              </w:tc>
              <w:tc>
                <w:tcPr>
                  <w:tcW w:w="934" w:type="dxa"/>
                  <w:vMerge w:val="continue"/>
                  <w:vAlign w:val="center"/>
                </w:tcPr>
                <w:p w14:paraId="4D8D146D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14:paraId="38557F0D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服务时间</w:t>
                  </w:r>
                </w:p>
              </w:tc>
              <w:tc>
                <w:tcPr>
                  <w:tcW w:w="6432" w:type="dxa"/>
                  <w:vAlign w:val="center"/>
                </w:tcPr>
                <w:p w14:paraId="42F7ED50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提供本地化运营维护服务团队，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提供7*24小时的故障处理。</w:t>
                  </w:r>
                </w:p>
              </w:tc>
            </w:tr>
            <w:tr w14:paraId="720FE8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168C8C38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5</w:t>
                  </w:r>
                </w:p>
              </w:tc>
              <w:tc>
                <w:tcPr>
                  <w:tcW w:w="934" w:type="dxa"/>
                  <w:vMerge w:val="continue"/>
                  <w:vAlign w:val="center"/>
                </w:tcPr>
                <w:p w14:paraId="28EC0355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14:paraId="01489632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服务热线</w:t>
                  </w:r>
                </w:p>
              </w:tc>
              <w:tc>
                <w:tcPr>
                  <w:tcW w:w="6432" w:type="dxa"/>
                  <w:vAlign w:val="center"/>
                </w:tcPr>
                <w:p w14:paraId="58B6A61F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spacing w:val="-2"/>
                      <w:kern w:val="2"/>
                    </w:rPr>
                    <w:t>电话服务提供技术咨询、故障诊断、故障排除、以及现场支持等具体的技术支持工作，并对用户投诉做出相应处理。</w:t>
                  </w:r>
                </w:p>
              </w:tc>
            </w:tr>
            <w:tr w14:paraId="1EB523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675E0BFD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6</w:t>
                  </w:r>
                </w:p>
              </w:tc>
              <w:tc>
                <w:tcPr>
                  <w:tcW w:w="934" w:type="dxa"/>
                  <w:vMerge w:val="restart"/>
                  <w:vAlign w:val="center"/>
                </w:tcPr>
                <w:p w14:paraId="1DFECC58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特殊保障</w:t>
                  </w:r>
                </w:p>
              </w:tc>
              <w:tc>
                <w:tcPr>
                  <w:tcW w:w="1328" w:type="dxa"/>
                  <w:vAlign w:val="center"/>
                </w:tcPr>
                <w:p w14:paraId="52F200DE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应急保障</w:t>
                  </w:r>
                </w:p>
              </w:tc>
              <w:tc>
                <w:tcPr>
                  <w:tcW w:w="6432" w:type="dxa"/>
                  <w:vAlign w:val="center"/>
                </w:tcPr>
                <w:p w14:paraId="291827A1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用户如有重大事件、临时软件服务改造等较特殊的保障措施，投标人按时提供服务。</w:t>
                  </w:r>
                </w:p>
              </w:tc>
            </w:tr>
            <w:tr w14:paraId="62C825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26183CAE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7</w:t>
                  </w:r>
                </w:p>
              </w:tc>
              <w:tc>
                <w:tcPr>
                  <w:tcW w:w="934" w:type="dxa"/>
                  <w:vMerge w:val="continue"/>
                  <w:vAlign w:val="center"/>
                </w:tcPr>
                <w:p w14:paraId="0ADCB4C8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</w:p>
              </w:tc>
              <w:tc>
                <w:tcPr>
                  <w:tcW w:w="1328" w:type="dxa"/>
                  <w:vAlign w:val="center"/>
                </w:tcPr>
                <w:p w14:paraId="501020C4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安全保障</w:t>
                  </w:r>
                </w:p>
              </w:tc>
              <w:tc>
                <w:tcPr>
                  <w:tcW w:w="6432" w:type="dxa"/>
                  <w:vAlign w:val="center"/>
                </w:tcPr>
                <w:p w14:paraId="15C5DD51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用户如有数据安全等较特殊的要求，投标人按照要求提供服务。</w:t>
                  </w:r>
                </w:p>
              </w:tc>
            </w:tr>
            <w:tr w14:paraId="4028DDD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05" w:type="dxa"/>
                  <w:vAlign w:val="center"/>
                </w:tcPr>
                <w:p w14:paraId="334BA948">
                  <w:pPr>
                    <w:pStyle w:val="13"/>
                    <w:spacing w:after="160"/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8</w:t>
                  </w:r>
                </w:p>
              </w:tc>
              <w:tc>
                <w:tcPr>
                  <w:tcW w:w="2262" w:type="dxa"/>
                  <w:gridSpan w:val="2"/>
                  <w:vAlign w:val="center"/>
                </w:tcPr>
                <w:p w14:paraId="78A9EC5F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产品培训</w:t>
                  </w:r>
                </w:p>
              </w:tc>
              <w:tc>
                <w:tcPr>
                  <w:tcW w:w="6432" w:type="dxa"/>
                  <w:vAlign w:val="center"/>
                </w:tcPr>
                <w:p w14:paraId="29DDE1B6">
                  <w:pPr>
                    <w:pStyle w:val="13"/>
                    <w:spacing w:after="160"/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</w:rPr>
                    <w:t>充分了解项目培训需求，根据医保办排科室提供季度培训，输出季度培训等级表，通过培训确保本项目相关人员能够熟练操作使用系统，并对系统进行日常维护。</w:t>
                  </w:r>
                </w:p>
              </w:tc>
            </w:tr>
          </w:tbl>
          <w:p w14:paraId="5E5F5453">
            <w:pPr>
              <w:spacing w:line="300" w:lineRule="auto"/>
              <w:rPr>
                <w:rFonts w:hint="eastAsia"/>
              </w:rPr>
            </w:pPr>
          </w:p>
        </w:tc>
        <w:tc>
          <w:tcPr>
            <w:tcW w:w="1493" w:type="dxa"/>
            <w:vAlign w:val="center"/>
          </w:tcPr>
          <w:p w14:paraId="68412F5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1年</w:t>
            </w:r>
          </w:p>
        </w:tc>
      </w:tr>
    </w:tbl>
    <w:p w14:paraId="7FB46E01">
      <w:pPr>
        <w:spacing w:line="360" w:lineRule="auto"/>
        <w:rPr>
          <w:rFonts w:hint="eastAsia" w:ascii="宋体" w:hAnsi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宋体..璂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EFF89E"/>
    <w:multiLevelType w:val="singleLevel"/>
    <w:tmpl w:val="ACEFF89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D52"/>
    <w:rsid w:val="000C77B7"/>
    <w:rsid w:val="001376A0"/>
    <w:rsid w:val="001D5BE8"/>
    <w:rsid w:val="00327F9D"/>
    <w:rsid w:val="00337BCD"/>
    <w:rsid w:val="00813D52"/>
    <w:rsid w:val="00BB1231"/>
    <w:rsid w:val="0EAA5A1E"/>
    <w:rsid w:val="14CC2065"/>
    <w:rsid w:val="271239DF"/>
    <w:rsid w:val="51BA24E8"/>
    <w:rsid w:val="660A5C27"/>
    <w:rsid w:val="7BB4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Date"/>
    <w:basedOn w:val="1"/>
    <w:next w:val="1"/>
    <w:unhideWhenUsed/>
    <w:qFormat/>
    <w:uiPriority w:val="99"/>
    <w:pPr>
      <w:ind w:left="100" w:leftChars="25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/>
      <w:kern w:val="0"/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paragraph" w:customStyle="1" w:styleId="10">
    <w:name w:val="列表段落1"/>
    <w:basedOn w:val="1"/>
    <w:qFormat/>
    <w:uiPriority w:val="0"/>
    <w:pPr>
      <w:ind w:left="720"/>
    </w:pPr>
    <w:rPr>
      <w:rFonts w:hint="eastAsia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Default Char"/>
    <w:link w:val="13"/>
    <w:qFormat/>
    <w:uiPriority w:val="0"/>
    <w:rPr>
      <w:rFonts w:ascii="宋体..璂.." w:hAnsi="Times New Roman" w:eastAsia="宋体..璂.." w:cs="宋体..璂.."/>
      <w:color w:val="000000"/>
      <w:sz w:val="24"/>
      <w:szCs w:val="24"/>
    </w:rPr>
  </w:style>
  <w:style w:type="paragraph" w:customStyle="1" w:styleId="13">
    <w:name w:val="Default"/>
    <w:link w:val="12"/>
    <w:qFormat/>
    <w:uiPriority w:val="0"/>
    <w:pPr>
      <w:widowControl w:val="0"/>
      <w:autoSpaceDE w:val="0"/>
      <w:autoSpaceDN w:val="0"/>
      <w:adjustRightInd w:val="0"/>
    </w:pPr>
    <w:rPr>
      <w:rFonts w:ascii="宋体..璂.." w:hAnsi="Times New Roman" w:eastAsia="宋体..璂.." w:cs="宋体..璂.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2104</Words>
  <Characters>2183</Characters>
  <Lines>16</Lines>
  <Paragraphs>4</Paragraphs>
  <TotalTime>1</TotalTime>
  <ScaleCrop>false</ScaleCrop>
  <LinksUpToDate>false</LinksUpToDate>
  <CharactersWithSpaces>2191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2025-11-12T01:28:00Z</dcterms:created>
  <dc:creator>Administrator</dc:creator>
  <cp:lastModifiedBy>旧  梦，</cp:lastModifiedBy>
  <dcterms:modified xsi:type="dcterms:W3CDTF">2025-11-18T02:03:03Z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eyJoZGlkIjoiN2ZjOGE3YWIwOGFhYmI5OWZhOWM1MDRkZTdiYTJmNWMiLCJ1c2VySWQiOiI0OTI1MTQ1NDUifQ==</vt:lpwstr>
  </property>
  <property fmtid="{D5CDD505-2E9C-101B-9397-08002B2CF9AE}" pid="4" name="ICV">
    <vt:lpwstr>2410399CF4934F87BD5FA5386BFFAF61_13</vt:lpwstr>
  </property>
</Properties>
</file>