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AED8C7">
      <w:pPr>
        <w:numPr>
          <w:ilvl w:val="0"/>
          <w:numId w:val="0"/>
        </w:numPr>
        <w:spacing w:line="360" w:lineRule="auto"/>
        <w:jc w:val="center"/>
        <w:rPr>
          <w:rFonts w:hint="eastAsia" w:ascii="宋体" w:hAnsi="宋体" w:eastAsia="宋体" w:cs="宋体"/>
          <w:b/>
          <w:bCs/>
          <w:sz w:val="24"/>
          <w:lang w:eastAsia="zh-CN"/>
        </w:rPr>
      </w:pPr>
      <w:bookmarkStart w:id="0" w:name="_Toc6492"/>
      <w:bookmarkStart w:id="1" w:name="_Toc24450"/>
      <w:bookmarkStart w:id="2" w:name="_Toc79185135"/>
      <w:bookmarkStart w:id="3" w:name="_Toc332971340"/>
      <w:bookmarkStart w:id="4" w:name="_Toc12712"/>
      <w:bookmarkStart w:id="5" w:name="_Toc332971341"/>
      <w:bookmarkStart w:id="6" w:name="_Toc251"/>
      <w:bookmarkStart w:id="7" w:name="_Toc332971338"/>
      <w:bookmarkStart w:id="8" w:name="_Toc471918151"/>
      <w:r>
        <w:rPr>
          <w:rFonts w:hint="eastAsia" w:ascii="宋体" w:hAnsi="宋体" w:eastAsia="宋体" w:cs="宋体"/>
          <w:b/>
          <w:bCs/>
          <w:sz w:val="24"/>
          <w:lang w:eastAsia="zh-CN"/>
        </w:rPr>
        <w:t>医保移动支付运维服务</w:t>
      </w:r>
      <w:bookmarkStart w:id="10" w:name="_GoBack"/>
      <w:bookmarkEnd w:id="10"/>
      <w:r>
        <w:rPr>
          <w:rFonts w:hint="eastAsia" w:ascii="宋体" w:hAnsi="宋体" w:eastAsia="宋体" w:cs="宋体"/>
          <w:b/>
          <w:bCs/>
          <w:sz w:val="24"/>
          <w:lang w:eastAsia="zh-CN"/>
        </w:rPr>
        <w:t>要求</w:t>
      </w:r>
    </w:p>
    <w:p w14:paraId="77BE95BE">
      <w:pPr>
        <w:numPr>
          <w:ilvl w:val="0"/>
          <w:numId w:val="1"/>
        </w:numPr>
        <w:spacing w:line="360" w:lineRule="auto"/>
        <w:rPr>
          <w:rFonts w:hint="eastAsia"/>
        </w:rPr>
      </w:pPr>
      <w:r>
        <w:rPr>
          <w:rFonts w:hint="eastAsia" w:ascii="宋体" w:hAnsi="宋体" w:eastAsia="宋体" w:cs="宋体"/>
          <w:b/>
          <w:bCs/>
          <w:sz w:val="24"/>
        </w:rPr>
        <w:t>参数要求</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
        <w:gridCol w:w="1645"/>
        <w:gridCol w:w="5940"/>
      </w:tblGrid>
      <w:tr w14:paraId="6BA1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550" w:type="pct"/>
          </w:tcPr>
          <w:p w14:paraId="2FBF40E8">
            <w:pPr>
              <w:rPr>
                <w:rFonts w:hint="eastAsia" w:ascii="宋体" w:hAnsi="宋体" w:eastAsia="宋体" w:cs="宋体"/>
                <w:kern w:val="0"/>
                <w:sz w:val="20"/>
                <w:szCs w:val="21"/>
              </w:rPr>
            </w:pPr>
            <w:r>
              <w:rPr>
                <w:rFonts w:hint="eastAsia" w:ascii="宋体" w:hAnsi="宋体" w:eastAsia="宋体" w:cs="宋体"/>
                <w:kern w:val="0"/>
                <w:sz w:val="20"/>
                <w:szCs w:val="21"/>
              </w:rPr>
              <w:t>序号</w:t>
            </w:r>
          </w:p>
        </w:tc>
        <w:tc>
          <w:tcPr>
            <w:tcW w:w="965" w:type="pct"/>
          </w:tcPr>
          <w:p w14:paraId="5729CC5C">
            <w:pPr>
              <w:rPr>
                <w:rFonts w:hint="eastAsia" w:ascii="宋体" w:hAnsi="宋体" w:eastAsia="宋体" w:cs="宋体"/>
                <w:kern w:val="0"/>
                <w:sz w:val="20"/>
                <w:szCs w:val="21"/>
              </w:rPr>
            </w:pPr>
            <w:r>
              <w:rPr>
                <w:rFonts w:hint="eastAsia" w:ascii="宋体" w:hAnsi="宋体" w:eastAsia="宋体" w:cs="宋体"/>
                <w:kern w:val="0"/>
                <w:sz w:val="20"/>
                <w:szCs w:val="21"/>
              </w:rPr>
              <w:t>功能列表</w:t>
            </w:r>
          </w:p>
        </w:tc>
        <w:tc>
          <w:tcPr>
            <w:tcW w:w="3485" w:type="pct"/>
          </w:tcPr>
          <w:p w14:paraId="7991DB95">
            <w:pPr>
              <w:rPr>
                <w:rFonts w:hint="eastAsia" w:ascii="宋体" w:hAnsi="宋体" w:eastAsia="宋体" w:cs="宋体"/>
                <w:kern w:val="0"/>
                <w:sz w:val="20"/>
                <w:szCs w:val="21"/>
              </w:rPr>
            </w:pPr>
            <w:r>
              <w:rPr>
                <w:rFonts w:hint="eastAsia" w:ascii="宋体" w:hAnsi="宋体" w:eastAsia="宋体" w:cs="宋体"/>
                <w:kern w:val="0"/>
                <w:sz w:val="20"/>
                <w:szCs w:val="21"/>
              </w:rPr>
              <w:t>功能要求</w:t>
            </w:r>
          </w:p>
        </w:tc>
      </w:tr>
      <w:tr w14:paraId="498E6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550" w:type="pct"/>
          </w:tcPr>
          <w:p w14:paraId="396D8A27">
            <w:pPr>
              <w:jc w:val="center"/>
              <w:rPr>
                <w:rFonts w:hint="eastAsia" w:ascii="宋体" w:hAnsi="宋体" w:eastAsia="宋体" w:cs="宋体"/>
                <w:kern w:val="0"/>
                <w:sz w:val="20"/>
                <w:szCs w:val="21"/>
              </w:rPr>
            </w:pPr>
            <w:r>
              <w:rPr>
                <w:rFonts w:hint="eastAsia" w:ascii="宋体" w:hAnsi="宋体" w:eastAsia="宋体" w:cs="宋体"/>
                <w:kern w:val="0"/>
                <w:sz w:val="20"/>
                <w:szCs w:val="21"/>
              </w:rPr>
              <w:t>1</w:t>
            </w:r>
          </w:p>
        </w:tc>
        <w:tc>
          <w:tcPr>
            <w:tcW w:w="965" w:type="pct"/>
            <w:vAlign w:val="center"/>
          </w:tcPr>
          <w:p w14:paraId="3A59BCA1">
            <w:pPr>
              <w:widowControl/>
              <w:jc w:val="center"/>
              <w:textAlignment w:val="center"/>
              <w:rPr>
                <w:rFonts w:hint="eastAsia" w:ascii="宋体" w:hAnsi="宋体" w:eastAsia="宋体" w:cs="宋体"/>
                <w:kern w:val="0"/>
                <w:sz w:val="20"/>
                <w:szCs w:val="21"/>
              </w:rPr>
            </w:pPr>
            <w:r>
              <w:rPr>
                <w:rFonts w:hint="eastAsia" w:ascii="宋体" w:hAnsi="宋体" w:eastAsia="宋体" w:cs="宋体"/>
                <w:kern w:val="0"/>
                <w:sz w:val="20"/>
                <w:szCs w:val="21"/>
              </w:rPr>
              <w:t>医保电子凭证激活与授权</w:t>
            </w:r>
          </w:p>
        </w:tc>
        <w:tc>
          <w:tcPr>
            <w:tcW w:w="3485" w:type="pct"/>
            <w:vAlign w:val="center"/>
          </w:tcPr>
          <w:p w14:paraId="1FA64AC0">
            <w:pPr>
              <w:widowControl/>
              <w:jc w:val="left"/>
              <w:textAlignment w:val="center"/>
              <w:rPr>
                <w:rFonts w:hint="eastAsia" w:ascii="宋体" w:hAnsi="宋体" w:eastAsia="宋体" w:cs="宋体"/>
                <w:kern w:val="0"/>
                <w:sz w:val="20"/>
                <w:szCs w:val="21"/>
              </w:rPr>
            </w:pPr>
            <w:r>
              <w:rPr>
                <w:rFonts w:hint="eastAsia" w:ascii="宋体" w:hAnsi="宋体" w:eastAsia="宋体" w:cs="宋体"/>
                <w:kern w:val="0"/>
                <w:sz w:val="20"/>
                <w:szCs w:val="21"/>
              </w:rPr>
              <w:t>居民在使用医保移动支付时，自动判断医保电子凭证激活是否激活，并引导居民进行医保电子凭证的激活与授权，同时与医保电子凭证中台进行交互，保障居民使用服务时的身份合法授权和确认。</w:t>
            </w:r>
          </w:p>
        </w:tc>
      </w:tr>
      <w:tr w14:paraId="169D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550" w:type="pct"/>
          </w:tcPr>
          <w:p w14:paraId="7834305F">
            <w:pPr>
              <w:jc w:val="center"/>
              <w:rPr>
                <w:rFonts w:hint="eastAsia" w:ascii="宋体" w:hAnsi="宋体" w:eastAsia="宋体" w:cs="宋体"/>
                <w:kern w:val="0"/>
                <w:sz w:val="20"/>
                <w:szCs w:val="21"/>
              </w:rPr>
            </w:pPr>
            <w:r>
              <w:rPr>
                <w:rFonts w:hint="eastAsia" w:ascii="宋体" w:hAnsi="宋体" w:eastAsia="宋体" w:cs="宋体"/>
                <w:kern w:val="0"/>
                <w:sz w:val="20"/>
                <w:szCs w:val="21"/>
              </w:rPr>
              <w:t>2</w:t>
            </w:r>
          </w:p>
        </w:tc>
        <w:tc>
          <w:tcPr>
            <w:tcW w:w="965" w:type="pct"/>
            <w:vAlign w:val="center"/>
          </w:tcPr>
          <w:p w14:paraId="0530B735">
            <w:pPr>
              <w:widowControl/>
              <w:jc w:val="center"/>
              <w:textAlignment w:val="center"/>
              <w:rPr>
                <w:rFonts w:hint="eastAsia" w:ascii="宋体" w:hAnsi="宋体" w:eastAsia="宋体" w:cs="宋体"/>
                <w:kern w:val="0"/>
                <w:sz w:val="20"/>
                <w:szCs w:val="21"/>
              </w:rPr>
            </w:pPr>
            <w:r>
              <w:rPr>
                <w:rFonts w:hint="eastAsia" w:ascii="宋体" w:hAnsi="宋体" w:eastAsia="宋体" w:cs="宋体"/>
                <w:kern w:val="0"/>
                <w:sz w:val="20"/>
                <w:szCs w:val="21"/>
              </w:rPr>
              <w:t>线上医保身份核验</w:t>
            </w:r>
          </w:p>
        </w:tc>
        <w:tc>
          <w:tcPr>
            <w:tcW w:w="3485" w:type="pct"/>
            <w:vAlign w:val="center"/>
          </w:tcPr>
          <w:p w14:paraId="38F1281F">
            <w:pPr>
              <w:widowControl/>
              <w:jc w:val="left"/>
              <w:textAlignment w:val="center"/>
              <w:rPr>
                <w:rFonts w:hint="eastAsia" w:ascii="宋体" w:hAnsi="宋体" w:eastAsia="宋体" w:cs="宋体"/>
                <w:kern w:val="0"/>
                <w:sz w:val="20"/>
                <w:szCs w:val="21"/>
              </w:rPr>
            </w:pPr>
            <w:r>
              <w:rPr>
                <w:rFonts w:hint="eastAsia" w:ascii="宋体" w:hAnsi="宋体" w:eastAsia="宋体" w:cs="宋体"/>
                <w:kern w:val="0"/>
                <w:sz w:val="20"/>
                <w:szCs w:val="21"/>
              </w:rPr>
              <w:t>系统支持参保病人线上免密身份核验，以支持医保移动支付。</w:t>
            </w:r>
          </w:p>
        </w:tc>
      </w:tr>
      <w:tr w14:paraId="60BAE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1" w:hRule="atLeast"/>
        </w:trPr>
        <w:tc>
          <w:tcPr>
            <w:tcW w:w="550" w:type="pct"/>
          </w:tcPr>
          <w:p w14:paraId="21E6D974">
            <w:pPr>
              <w:jc w:val="center"/>
              <w:rPr>
                <w:rFonts w:hint="eastAsia" w:ascii="宋体" w:hAnsi="宋体" w:eastAsia="宋体" w:cs="宋体"/>
                <w:kern w:val="0"/>
                <w:sz w:val="20"/>
                <w:szCs w:val="21"/>
              </w:rPr>
            </w:pPr>
            <w:r>
              <w:rPr>
                <w:rFonts w:hint="eastAsia" w:ascii="宋体" w:hAnsi="宋体" w:eastAsia="宋体" w:cs="宋体"/>
                <w:kern w:val="0"/>
                <w:sz w:val="20"/>
                <w:szCs w:val="21"/>
              </w:rPr>
              <w:t>3</w:t>
            </w:r>
          </w:p>
        </w:tc>
        <w:tc>
          <w:tcPr>
            <w:tcW w:w="965" w:type="pct"/>
            <w:vAlign w:val="center"/>
          </w:tcPr>
          <w:p w14:paraId="303108F7">
            <w:pPr>
              <w:widowControl/>
              <w:jc w:val="center"/>
              <w:textAlignment w:val="center"/>
              <w:rPr>
                <w:rFonts w:hint="eastAsia" w:ascii="宋体" w:hAnsi="宋体" w:eastAsia="宋体" w:cs="宋体"/>
                <w:kern w:val="0"/>
                <w:sz w:val="20"/>
                <w:szCs w:val="21"/>
              </w:rPr>
            </w:pPr>
            <w:r>
              <w:rPr>
                <w:rFonts w:hint="eastAsia" w:ascii="宋体" w:hAnsi="宋体" w:eastAsia="宋体" w:cs="宋体"/>
                <w:kern w:val="0"/>
                <w:sz w:val="20"/>
                <w:szCs w:val="21"/>
              </w:rPr>
              <w:t>医保移动支付</w:t>
            </w:r>
          </w:p>
        </w:tc>
        <w:tc>
          <w:tcPr>
            <w:tcW w:w="3485" w:type="pct"/>
            <w:vAlign w:val="center"/>
          </w:tcPr>
          <w:p w14:paraId="6431ACB1">
            <w:pPr>
              <w:widowControl/>
              <w:jc w:val="left"/>
              <w:textAlignment w:val="center"/>
              <w:rPr>
                <w:rFonts w:hint="eastAsia" w:ascii="宋体" w:hAnsi="宋体" w:eastAsia="宋体" w:cs="宋体"/>
                <w:kern w:val="0"/>
                <w:sz w:val="20"/>
                <w:szCs w:val="21"/>
              </w:rPr>
            </w:pPr>
            <w:r>
              <w:rPr>
                <w:rFonts w:hint="eastAsia" w:ascii="宋体" w:hAnsi="宋体" w:eastAsia="宋体" w:cs="宋体"/>
                <w:kern w:val="0"/>
                <w:sz w:val="20"/>
                <w:szCs w:val="21"/>
              </w:rPr>
              <w:t>1、支持第三方支付的医保支付。</w:t>
            </w:r>
            <w:r>
              <w:rPr>
                <w:rFonts w:hint="eastAsia" w:ascii="宋体" w:hAnsi="宋体" w:eastAsia="宋体" w:cs="宋体"/>
                <w:kern w:val="0"/>
                <w:sz w:val="20"/>
                <w:szCs w:val="21"/>
              </w:rPr>
              <w:br w:type="textWrapping"/>
            </w:r>
            <w:r>
              <w:rPr>
                <w:rFonts w:hint="eastAsia" w:ascii="宋体" w:hAnsi="宋体" w:eastAsia="宋体" w:cs="宋体"/>
                <w:kern w:val="0"/>
                <w:sz w:val="20"/>
                <w:szCs w:val="21"/>
              </w:rPr>
              <w:t>2、支持调用医保获取人员基本信息交易。</w:t>
            </w:r>
            <w:r>
              <w:rPr>
                <w:rFonts w:hint="eastAsia" w:ascii="宋体" w:hAnsi="宋体" w:eastAsia="宋体" w:cs="宋体"/>
                <w:kern w:val="0"/>
                <w:sz w:val="20"/>
                <w:szCs w:val="21"/>
              </w:rPr>
              <w:br w:type="textWrapping"/>
            </w:r>
            <w:r>
              <w:rPr>
                <w:rFonts w:hint="eastAsia" w:ascii="宋体" w:hAnsi="宋体" w:eastAsia="宋体" w:cs="宋体"/>
                <w:kern w:val="0"/>
                <w:sz w:val="20"/>
                <w:szCs w:val="21"/>
              </w:rPr>
              <w:t xml:space="preserve">3、支持调用医保医保挂号交易。 </w:t>
            </w:r>
            <w:r>
              <w:rPr>
                <w:rFonts w:hint="eastAsia" w:ascii="宋体" w:hAnsi="宋体" w:eastAsia="宋体" w:cs="宋体"/>
                <w:kern w:val="0"/>
                <w:sz w:val="20"/>
                <w:szCs w:val="21"/>
              </w:rPr>
              <w:br w:type="textWrapping"/>
            </w:r>
            <w:r>
              <w:rPr>
                <w:rFonts w:hint="eastAsia" w:ascii="宋体" w:hAnsi="宋体" w:eastAsia="宋体" w:cs="宋体"/>
                <w:kern w:val="0"/>
                <w:sz w:val="20"/>
                <w:szCs w:val="21"/>
              </w:rPr>
              <w:t>4、支持省医保移动支付中心费用明细上传，以便后续进行线上医保结算。</w:t>
            </w:r>
            <w:r>
              <w:rPr>
                <w:rFonts w:hint="eastAsia" w:ascii="宋体" w:hAnsi="宋体" w:eastAsia="宋体" w:cs="宋体"/>
                <w:kern w:val="0"/>
                <w:sz w:val="20"/>
                <w:szCs w:val="21"/>
              </w:rPr>
              <w:br w:type="textWrapping"/>
            </w:r>
            <w:r>
              <w:rPr>
                <w:rFonts w:hint="eastAsia" w:ascii="宋体" w:hAnsi="宋体" w:eastAsia="宋体" w:cs="宋体"/>
                <w:kern w:val="0"/>
                <w:sz w:val="20"/>
                <w:szCs w:val="21"/>
              </w:rPr>
              <w:t>5、支持省医保移动支付中心支付下单，给参保病人展示医保预结算结果。</w:t>
            </w:r>
            <w:r>
              <w:rPr>
                <w:rFonts w:hint="eastAsia" w:ascii="宋体" w:hAnsi="宋体" w:eastAsia="宋体" w:cs="宋体"/>
                <w:kern w:val="0"/>
                <w:sz w:val="20"/>
                <w:szCs w:val="21"/>
              </w:rPr>
              <w:br w:type="textWrapping"/>
            </w:r>
            <w:r>
              <w:rPr>
                <w:rFonts w:hint="eastAsia" w:ascii="宋体" w:hAnsi="宋体" w:eastAsia="宋体" w:cs="宋体"/>
                <w:kern w:val="0"/>
                <w:sz w:val="20"/>
                <w:szCs w:val="21"/>
              </w:rPr>
              <w:t>6、支持订单查询功能，在HIS未收到支付结果通知的时候，HIS可使用此功能查询订单当前支付状态。</w:t>
            </w:r>
            <w:r>
              <w:rPr>
                <w:rFonts w:hint="eastAsia" w:ascii="宋体" w:hAnsi="宋体" w:eastAsia="宋体" w:cs="宋体"/>
                <w:kern w:val="0"/>
                <w:sz w:val="20"/>
                <w:szCs w:val="21"/>
              </w:rPr>
              <w:br w:type="textWrapping"/>
            </w:r>
            <w:r>
              <w:rPr>
                <w:rFonts w:hint="eastAsia" w:ascii="宋体" w:hAnsi="宋体" w:eastAsia="宋体" w:cs="宋体"/>
                <w:kern w:val="0"/>
                <w:sz w:val="20"/>
                <w:szCs w:val="21"/>
              </w:rPr>
              <w:t>7、支持订单退费功能，混合支付包含医保退费和自费部分的退费。</w:t>
            </w:r>
            <w:r>
              <w:rPr>
                <w:rFonts w:hint="eastAsia" w:ascii="宋体" w:hAnsi="宋体" w:eastAsia="宋体" w:cs="宋体"/>
                <w:kern w:val="0"/>
                <w:sz w:val="20"/>
                <w:szCs w:val="21"/>
              </w:rPr>
              <w:br w:type="textWrapping"/>
            </w:r>
            <w:r>
              <w:rPr>
                <w:rFonts w:hint="eastAsia" w:ascii="宋体" w:hAnsi="宋体" w:eastAsia="宋体" w:cs="宋体"/>
                <w:kern w:val="0"/>
                <w:sz w:val="20"/>
                <w:szCs w:val="21"/>
              </w:rPr>
              <w:t>8、支持费用明细撤销功能，当上传的费用明细发生变更，可调用此功能完成撤销。</w:t>
            </w:r>
          </w:p>
        </w:tc>
      </w:tr>
      <w:tr w14:paraId="23245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550" w:type="pct"/>
          </w:tcPr>
          <w:p w14:paraId="7E6222CE">
            <w:pPr>
              <w:jc w:val="center"/>
              <w:rPr>
                <w:rFonts w:hint="eastAsia" w:ascii="宋体" w:hAnsi="宋体" w:eastAsia="宋体" w:cs="宋体"/>
                <w:kern w:val="0"/>
                <w:sz w:val="20"/>
                <w:szCs w:val="21"/>
              </w:rPr>
            </w:pPr>
            <w:r>
              <w:rPr>
                <w:rFonts w:hint="eastAsia" w:ascii="宋体" w:hAnsi="宋体" w:eastAsia="宋体" w:cs="宋体"/>
                <w:kern w:val="0"/>
                <w:sz w:val="20"/>
                <w:szCs w:val="21"/>
              </w:rPr>
              <w:t>4</w:t>
            </w:r>
          </w:p>
        </w:tc>
        <w:tc>
          <w:tcPr>
            <w:tcW w:w="965" w:type="pct"/>
            <w:vAlign w:val="center"/>
          </w:tcPr>
          <w:p w14:paraId="15DE2423">
            <w:pPr>
              <w:widowControl/>
              <w:jc w:val="center"/>
              <w:textAlignment w:val="center"/>
              <w:rPr>
                <w:rFonts w:hint="eastAsia" w:ascii="宋体" w:hAnsi="宋体" w:eastAsia="宋体" w:cs="宋体"/>
                <w:kern w:val="0"/>
                <w:sz w:val="20"/>
                <w:szCs w:val="21"/>
              </w:rPr>
            </w:pPr>
            <w:r>
              <w:rPr>
                <w:rFonts w:hint="eastAsia" w:ascii="宋体" w:hAnsi="宋体" w:eastAsia="宋体" w:cs="宋体"/>
                <w:kern w:val="0"/>
                <w:sz w:val="20"/>
                <w:szCs w:val="21"/>
              </w:rPr>
              <w:t>订单管理</w:t>
            </w:r>
          </w:p>
        </w:tc>
        <w:tc>
          <w:tcPr>
            <w:tcW w:w="3485" w:type="pct"/>
            <w:vAlign w:val="center"/>
          </w:tcPr>
          <w:p w14:paraId="061D0A64">
            <w:pPr>
              <w:widowControl/>
              <w:jc w:val="left"/>
              <w:textAlignment w:val="center"/>
              <w:rPr>
                <w:rFonts w:hint="eastAsia" w:ascii="宋体" w:hAnsi="宋体" w:eastAsia="宋体" w:cs="宋体"/>
                <w:kern w:val="0"/>
                <w:sz w:val="20"/>
                <w:szCs w:val="21"/>
              </w:rPr>
            </w:pPr>
            <w:r>
              <w:rPr>
                <w:rFonts w:hint="eastAsia" w:ascii="宋体" w:hAnsi="宋体" w:eastAsia="宋体" w:cs="宋体"/>
                <w:kern w:val="0"/>
                <w:sz w:val="20"/>
                <w:szCs w:val="21"/>
              </w:rPr>
              <w:t>用于在医保移动支付平台下产生的订单的展示和查看，方便平台管理员查看订单情况。</w:t>
            </w:r>
          </w:p>
        </w:tc>
      </w:tr>
      <w:tr w14:paraId="5373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550" w:type="pct"/>
          </w:tcPr>
          <w:p w14:paraId="4326C039">
            <w:pPr>
              <w:jc w:val="center"/>
              <w:rPr>
                <w:rFonts w:hint="eastAsia" w:ascii="宋体" w:hAnsi="宋体" w:eastAsia="宋体" w:cs="宋体"/>
                <w:kern w:val="0"/>
                <w:sz w:val="20"/>
                <w:szCs w:val="21"/>
              </w:rPr>
            </w:pPr>
            <w:r>
              <w:rPr>
                <w:rFonts w:hint="eastAsia" w:ascii="宋体" w:hAnsi="宋体" w:eastAsia="宋体" w:cs="宋体"/>
                <w:kern w:val="0"/>
                <w:sz w:val="20"/>
                <w:szCs w:val="21"/>
              </w:rPr>
              <w:t>5</w:t>
            </w:r>
          </w:p>
        </w:tc>
        <w:tc>
          <w:tcPr>
            <w:tcW w:w="965" w:type="pct"/>
            <w:vAlign w:val="center"/>
          </w:tcPr>
          <w:p w14:paraId="40A92DEA">
            <w:pPr>
              <w:widowControl/>
              <w:jc w:val="center"/>
              <w:textAlignment w:val="center"/>
              <w:rPr>
                <w:rFonts w:hint="eastAsia" w:ascii="宋体" w:hAnsi="宋体" w:eastAsia="宋体" w:cs="宋体"/>
                <w:kern w:val="0"/>
                <w:sz w:val="20"/>
                <w:szCs w:val="21"/>
              </w:rPr>
            </w:pPr>
            <w:r>
              <w:rPr>
                <w:rFonts w:hint="eastAsia" w:ascii="宋体" w:hAnsi="宋体" w:eastAsia="宋体" w:cs="宋体"/>
                <w:kern w:val="0"/>
                <w:sz w:val="20"/>
                <w:szCs w:val="21"/>
              </w:rPr>
              <w:t>四川医保APP支持</w:t>
            </w:r>
          </w:p>
        </w:tc>
        <w:tc>
          <w:tcPr>
            <w:tcW w:w="3485" w:type="pct"/>
            <w:vAlign w:val="center"/>
          </w:tcPr>
          <w:p w14:paraId="3553305E">
            <w:pPr>
              <w:widowControl/>
              <w:jc w:val="left"/>
              <w:textAlignment w:val="center"/>
              <w:rPr>
                <w:rFonts w:hint="eastAsia" w:ascii="宋体" w:hAnsi="宋体" w:eastAsia="宋体" w:cs="宋体"/>
                <w:kern w:val="0"/>
                <w:sz w:val="20"/>
                <w:szCs w:val="21"/>
              </w:rPr>
            </w:pPr>
            <w:r>
              <w:rPr>
                <w:rFonts w:hint="eastAsia" w:ascii="宋体" w:hAnsi="宋体" w:eastAsia="宋体" w:cs="宋体"/>
                <w:kern w:val="0"/>
                <w:sz w:val="20"/>
                <w:szCs w:val="21"/>
              </w:rPr>
              <w:t>与四川医保APP对接，实现医保+银行自费的混合支付。</w:t>
            </w:r>
          </w:p>
        </w:tc>
      </w:tr>
      <w:tr w14:paraId="0FE7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550" w:type="pct"/>
          </w:tcPr>
          <w:p w14:paraId="09AF7BAF">
            <w:pPr>
              <w:jc w:val="center"/>
              <w:rPr>
                <w:rFonts w:hint="eastAsia" w:ascii="宋体" w:hAnsi="宋体" w:eastAsia="宋体" w:cs="宋体"/>
                <w:kern w:val="0"/>
                <w:sz w:val="20"/>
                <w:szCs w:val="21"/>
              </w:rPr>
            </w:pPr>
            <w:r>
              <w:rPr>
                <w:rFonts w:hint="eastAsia" w:ascii="宋体" w:hAnsi="宋体" w:eastAsia="宋体" w:cs="宋体"/>
                <w:kern w:val="0"/>
                <w:sz w:val="20"/>
                <w:szCs w:val="21"/>
              </w:rPr>
              <w:t>6</w:t>
            </w:r>
          </w:p>
        </w:tc>
        <w:tc>
          <w:tcPr>
            <w:tcW w:w="965" w:type="pct"/>
            <w:vAlign w:val="center"/>
          </w:tcPr>
          <w:p w14:paraId="2C28A21F">
            <w:pPr>
              <w:widowControl/>
              <w:jc w:val="center"/>
              <w:textAlignment w:val="center"/>
              <w:rPr>
                <w:rFonts w:hint="eastAsia" w:ascii="宋体" w:hAnsi="宋体" w:eastAsia="宋体" w:cs="宋体"/>
                <w:kern w:val="0"/>
                <w:sz w:val="20"/>
                <w:szCs w:val="21"/>
              </w:rPr>
            </w:pPr>
            <w:r>
              <w:rPr>
                <w:rFonts w:hint="eastAsia" w:ascii="宋体" w:hAnsi="宋体" w:eastAsia="宋体" w:cs="宋体"/>
                <w:kern w:val="0"/>
                <w:sz w:val="20"/>
                <w:szCs w:val="21"/>
              </w:rPr>
              <w:t>支付宝渠道支持</w:t>
            </w:r>
          </w:p>
        </w:tc>
        <w:tc>
          <w:tcPr>
            <w:tcW w:w="3485" w:type="pct"/>
            <w:vAlign w:val="center"/>
          </w:tcPr>
          <w:p w14:paraId="2DE045EC">
            <w:pPr>
              <w:widowControl/>
              <w:jc w:val="left"/>
              <w:textAlignment w:val="center"/>
              <w:rPr>
                <w:rFonts w:hint="eastAsia" w:ascii="宋体" w:hAnsi="宋体" w:eastAsia="宋体" w:cs="宋体"/>
                <w:kern w:val="0"/>
                <w:sz w:val="20"/>
                <w:szCs w:val="21"/>
              </w:rPr>
            </w:pPr>
            <w:r>
              <w:rPr>
                <w:rFonts w:hint="eastAsia" w:ascii="宋体" w:hAnsi="宋体" w:eastAsia="宋体" w:cs="宋体"/>
                <w:kern w:val="0"/>
                <w:sz w:val="20"/>
                <w:szCs w:val="21"/>
              </w:rPr>
              <w:t>与支付宝支付渠道对接，实现医保+支付宝自费的混合支付。</w:t>
            </w:r>
          </w:p>
        </w:tc>
      </w:tr>
      <w:tr w14:paraId="5AE6A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550" w:type="pct"/>
          </w:tcPr>
          <w:p w14:paraId="32BED047">
            <w:pPr>
              <w:jc w:val="center"/>
              <w:rPr>
                <w:rFonts w:hint="eastAsia" w:ascii="宋体" w:hAnsi="宋体" w:eastAsia="宋体" w:cs="宋体"/>
                <w:kern w:val="0"/>
                <w:sz w:val="20"/>
                <w:szCs w:val="21"/>
              </w:rPr>
            </w:pPr>
            <w:r>
              <w:rPr>
                <w:rFonts w:hint="eastAsia" w:ascii="宋体" w:hAnsi="宋体" w:eastAsia="宋体" w:cs="宋体"/>
                <w:kern w:val="0"/>
                <w:sz w:val="20"/>
                <w:szCs w:val="21"/>
              </w:rPr>
              <w:t>7</w:t>
            </w:r>
          </w:p>
        </w:tc>
        <w:tc>
          <w:tcPr>
            <w:tcW w:w="965" w:type="pct"/>
            <w:vAlign w:val="center"/>
          </w:tcPr>
          <w:p w14:paraId="5D491533">
            <w:pPr>
              <w:widowControl/>
              <w:jc w:val="center"/>
              <w:textAlignment w:val="center"/>
              <w:rPr>
                <w:rFonts w:hint="eastAsia" w:ascii="宋体" w:hAnsi="宋体" w:eastAsia="宋体" w:cs="宋体"/>
                <w:kern w:val="0"/>
                <w:sz w:val="20"/>
                <w:szCs w:val="21"/>
              </w:rPr>
            </w:pPr>
            <w:r>
              <w:rPr>
                <w:rFonts w:hint="eastAsia" w:ascii="宋体" w:hAnsi="宋体" w:eastAsia="宋体" w:cs="宋体"/>
                <w:kern w:val="0"/>
                <w:sz w:val="20"/>
                <w:szCs w:val="21"/>
              </w:rPr>
              <w:t>微信渠道支持</w:t>
            </w:r>
          </w:p>
        </w:tc>
        <w:tc>
          <w:tcPr>
            <w:tcW w:w="3485" w:type="pct"/>
            <w:vAlign w:val="center"/>
          </w:tcPr>
          <w:p w14:paraId="57BF2476">
            <w:pPr>
              <w:widowControl/>
              <w:jc w:val="left"/>
              <w:textAlignment w:val="center"/>
              <w:rPr>
                <w:rFonts w:hint="eastAsia" w:ascii="宋体" w:hAnsi="宋体" w:eastAsia="宋体" w:cs="宋体"/>
                <w:kern w:val="0"/>
                <w:sz w:val="20"/>
                <w:szCs w:val="21"/>
              </w:rPr>
            </w:pPr>
            <w:r>
              <w:rPr>
                <w:rFonts w:hint="eastAsia" w:ascii="宋体" w:hAnsi="宋体" w:eastAsia="宋体" w:cs="宋体"/>
                <w:kern w:val="0"/>
                <w:sz w:val="20"/>
                <w:szCs w:val="21"/>
              </w:rPr>
              <w:t>与微信支付渠道对接，实现医保+</w:t>
            </w:r>
            <w:r>
              <w:rPr>
                <w:rFonts w:ascii="宋体" w:hAnsi="宋体" w:eastAsia="宋体" w:cs="宋体"/>
                <w:kern w:val="0"/>
                <w:sz w:val="20"/>
                <w:szCs w:val="21"/>
              </w:rPr>
              <w:t>微信自费的混合支付</w:t>
            </w:r>
          </w:p>
        </w:tc>
      </w:tr>
      <w:tr w14:paraId="5F62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550" w:type="pct"/>
          </w:tcPr>
          <w:p w14:paraId="5CE2B43E">
            <w:pPr>
              <w:jc w:val="center"/>
              <w:rPr>
                <w:rFonts w:hint="eastAsia" w:ascii="宋体" w:hAnsi="宋体" w:eastAsia="宋体" w:cs="宋体"/>
                <w:kern w:val="0"/>
                <w:sz w:val="20"/>
                <w:szCs w:val="21"/>
              </w:rPr>
            </w:pPr>
            <w:r>
              <w:rPr>
                <w:rFonts w:hint="eastAsia" w:ascii="宋体" w:hAnsi="宋体" w:eastAsia="宋体" w:cs="宋体"/>
                <w:kern w:val="0"/>
                <w:sz w:val="20"/>
                <w:szCs w:val="21"/>
              </w:rPr>
              <w:t>8</w:t>
            </w:r>
          </w:p>
        </w:tc>
        <w:tc>
          <w:tcPr>
            <w:tcW w:w="965" w:type="pct"/>
            <w:vAlign w:val="center"/>
          </w:tcPr>
          <w:p w14:paraId="0029963A">
            <w:pPr>
              <w:widowControl/>
              <w:jc w:val="left"/>
              <w:textAlignment w:val="center"/>
              <w:rPr>
                <w:rFonts w:hint="eastAsia" w:ascii="宋体" w:hAnsi="宋体" w:eastAsia="宋体" w:cs="宋体"/>
                <w:kern w:val="0"/>
                <w:sz w:val="20"/>
                <w:szCs w:val="21"/>
              </w:rPr>
            </w:pPr>
            <w:r>
              <w:rPr>
                <w:rFonts w:hint="eastAsia" w:ascii="宋体" w:hAnsi="宋体" w:eastAsia="宋体" w:cs="宋体"/>
                <w:kern w:val="0"/>
                <w:sz w:val="20"/>
                <w:szCs w:val="21"/>
              </w:rPr>
              <w:t>与医保电子凭证中台对接</w:t>
            </w:r>
          </w:p>
        </w:tc>
        <w:tc>
          <w:tcPr>
            <w:tcW w:w="3485" w:type="pct"/>
            <w:vAlign w:val="center"/>
          </w:tcPr>
          <w:p w14:paraId="5674F188">
            <w:pPr>
              <w:widowControl/>
              <w:jc w:val="left"/>
              <w:textAlignment w:val="center"/>
              <w:rPr>
                <w:rFonts w:hint="eastAsia" w:ascii="宋体" w:hAnsi="宋体" w:eastAsia="宋体" w:cs="宋体"/>
                <w:kern w:val="0"/>
                <w:sz w:val="20"/>
                <w:szCs w:val="21"/>
              </w:rPr>
            </w:pPr>
            <w:r>
              <w:rPr>
                <w:rFonts w:hint="eastAsia" w:ascii="宋体" w:hAnsi="宋体" w:eastAsia="宋体" w:cs="宋体"/>
                <w:kern w:val="0"/>
                <w:sz w:val="20"/>
                <w:szCs w:val="21"/>
              </w:rPr>
              <w:t>通过与医保电子凭证中台对接，实现医保电子凭证的激活、授权</w:t>
            </w:r>
          </w:p>
        </w:tc>
      </w:tr>
      <w:tr w14:paraId="4E38E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550" w:type="pct"/>
          </w:tcPr>
          <w:p w14:paraId="6C529150">
            <w:pPr>
              <w:jc w:val="center"/>
              <w:rPr>
                <w:rFonts w:hint="eastAsia" w:ascii="宋体" w:hAnsi="宋体" w:eastAsia="宋体" w:cs="宋体"/>
                <w:kern w:val="0"/>
                <w:sz w:val="20"/>
                <w:szCs w:val="21"/>
              </w:rPr>
            </w:pPr>
            <w:r>
              <w:rPr>
                <w:rFonts w:hint="eastAsia" w:ascii="宋体" w:hAnsi="宋体" w:eastAsia="宋体" w:cs="宋体"/>
                <w:kern w:val="0"/>
                <w:sz w:val="20"/>
                <w:szCs w:val="21"/>
              </w:rPr>
              <w:t>9</w:t>
            </w:r>
          </w:p>
        </w:tc>
        <w:tc>
          <w:tcPr>
            <w:tcW w:w="965" w:type="pct"/>
            <w:vAlign w:val="center"/>
          </w:tcPr>
          <w:p w14:paraId="369D980F">
            <w:pPr>
              <w:widowControl/>
              <w:jc w:val="left"/>
              <w:textAlignment w:val="center"/>
              <w:rPr>
                <w:rFonts w:hint="eastAsia" w:ascii="宋体" w:hAnsi="宋体" w:eastAsia="宋体" w:cs="宋体"/>
                <w:kern w:val="0"/>
                <w:sz w:val="20"/>
                <w:szCs w:val="21"/>
              </w:rPr>
            </w:pPr>
            <w:r>
              <w:rPr>
                <w:rFonts w:hint="eastAsia" w:ascii="宋体" w:hAnsi="宋体" w:eastAsia="宋体" w:cs="宋体"/>
                <w:kern w:val="0"/>
                <w:sz w:val="20"/>
                <w:szCs w:val="21"/>
              </w:rPr>
              <w:t>与医保移动支付中台对接</w:t>
            </w:r>
          </w:p>
        </w:tc>
        <w:tc>
          <w:tcPr>
            <w:tcW w:w="3485" w:type="pct"/>
            <w:vAlign w:val="center"/>
          </w:tcPr>
          <w:p w14:paraId="56DF43CD">
            <w:pPr>
              <w:widowControl/>
              <w:jc w:val="left"/>
              <w:textAlignment w:val="center"/>
              <w:rPr>
                <w:rFonts w:hint="eastAsia" w:ascii="宋体" w:hAnsi="宋体" w:eastAsia="宋体" w:cs="宋体"/>
                <w:kern w:val="0"/>
                <w:sz w:val="20"/>
                <w:szCs w:val="21"/>
              </w:rPr>
            </w:pPr>
            <w:r>
              <w:rPr>
                <w:rFonts w:hint="eastAsia" w:ascii="宋体" w:hAnsi="宋体" w:eastAsia="宋体" w:cs="宋体"/>
                <w:kern w:val="0"/>
                <w:sz w:val="20"/>
                <w:szCs w:val="21"/>
              </w:rPr>
              <w:t>通过与医保移动支付中台对接，实现医保移动支付。</w:t>
            </w:r>
          </w:p>
        </w:tc>
      </w:tr>
      <w:tr w14:paraId="6C318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550" w:type="pct"/>
          </w:tcPr>
          <w:p w14:paraId="78E28DA7">
            <w:pPr>
              <w:jc w:val="center"/>
              <w:rPr>
                <w:rFonts w:hint="eastAsia" w:ascii="宋体" w:hAnsi="宋体" w:eastAsia="宋体" w:cs="宋体"/>
                <w:kern w:val="0"/>
                <w:sz w:val="20"/>
                <w:szCs w:val="21"/>
              </w:rPr>
            </w:pPr>
            <w:r>
              <w:rPr>
                <w:rFonts w:hint="eastAsia" w:ascii="宋体" w:hAnsi="宋体" w:eastAsia="宋体" w:cs="宋体"/>
                <w:kern w:val="0"/>
                <w:sz w:val="20"/>
                <w:szCs w:val="21"/>
              </w:rPr>
              <w:t>10</w:t>
            </w:r>
          </w:p>
        </w:tc>
        <w:tc>
          <w:tcPr>
            <w:tcW w:w="965" w:type="pct"/>
            <w:vAlign w:val="center"/>
          </w:tcPr>
          <w:p w14:paraId="26613D8D">
            <w:pPr>
              <w:widowControl/>
              <w:jc w:val="center"/>
              <w:textAlignment w:val="center"/>
              <w:rPr>
                <w:rFonts w:hint="eastAsia" w:ascii="宋体" w:hAnsi="宋体" w:eastAsia="宋体" w:cs="宋体"/>
                <w:kern w:val="0"/>
                <w:sz w:val="20"/>
                <w:szCs w:val="21"/>
              </w:rPr>
            </w:pPr>
            <w:r>
              <w:rPr>
                <w:rFonts w:hint="eastAsia" w:ascii="宋体" w:hAnsi="宋体" w:eastAsia="宋体" w:cs="宋体"/>
                <w:kern w:val="0"/>
                <w:sz w:val="20"/>
                <w:szCs w:val="21"/>
              </w:rPr>
              <w:t>与HIS系统对接</w:t>
            </w:r>
          </w:p>
        </w:tc>
        <w:tc>
          <w:tcPr>
            <w:tcW w:w="3485" w:type="pct"/>
            <w:vAlign w:val="center"/>
          </w:tcPr>
          <w:p w14:paraId="7B8303B0">
            <w:pPr>
              <w:widowControl/>
              <w:jc w:val="left"/>
              <w:textAlignment w:val="center"/>
              <w:rPr>
                <w:rFonts w:hint="eastAsia" w:ascii="宋体" w:hAnsi="宋体" w:eastAsia="宋体" w:cs="宋体"/>
                <w:kern w:val="0"/>
                <w:sz w:val="20"/>
                <w:szCs w:val="21"/>
              </w:rPr>
            </w:pPr>
            <w:r>
              <w:rPr>
                <w:rFonts w:hint="eastAsia" w:ascii="宋体" w:hAnsi="宋体" w:eastAsia="宋体" w:cs="宋体"/>
                <w:kern w:val="0"/>
                <w:sz w:val="20"/>
                <w:szCs w:val="21"/>
              </w:rPr>
              <w:t>调用HIS系统的处方、费用等信息，实现处方的汇总、上传以及费用的医保在线结算等。</w:t>
            </w:r>
          </w:p>
        </w:tc>
      </w:tr>
      <w:tr w14:paraId="5F6E3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550" w:type="pct"/>
          </w:tcPr>
          <w:p w14:paraId="4288FCD2">
            <w:pPr>
              <w:jc w:val="center"/>
              <w:rPr>
                <w:rFonts w:hint="eastAsia" w:ascii="宋体" w:hAnsi="宋体" w:eastAsia="宋体" w:cs="宋体"/>
                <w:kern w:val="0"/>
                <w:sz w:val="20"/>
                <w:szCs w:val="21"/>
              </w:rPr>
            </w:pPr>
            <w:r>
              <w:rPr>
                <w:rFonts w:hint="eastAsia" w:ascii="宋体" w:hAnsi="宋体" w:eastAsia="宋体" w:cs="宋体"/>
                <w:kern w:val="0"/>
                <w:sz w:val="20"/>
                <w:szCs w:val="21"/>
              </w:rPr>
              <w:t>11</w:t>
            </w:r>
          </w:p>
        </w:tc>
        <w:tc>
          <w:tcPr>
            <w:tcW w:w="965" w:type="pct"/>
            <w:vAlign w:val="center"/>
          </w:tcPr>
          <w:p w14:paraId="1C57D823">
            <w:pPr>
              <w:widowControl/>
              <w:jc w:val="center"/>
              <w:textAlignment w:val="center"/>
              <w:rPr>
                <w:rFonts w:hint="eastAsia" w:ascii="宋体" w:hAnsi="宋体" w:eastAsia="宋体" w:cs="宋体"/>
                <w:kern w:val="0"/>
                <w:sz w:val="20"/>
                <w:szCs w:val="21"/>
              </w:rPr>
            </w:pPr>
            <w:r>
              <w:rPr>
                <w:rFonts w:hint="eastAsia" w:ascii="宋体" w:hAnsi="宋体" w:eastAsia="宋体" w:cs="宋体"/>
                <w:kern w:val="0"/>
                <w:sz w:val="20"/>
                <w:szCs w:val="21"/>
              </w:rPr>
              <w:t>账单下载</w:t>
            </w:r>
          </w:p>
        </w:tc>
        <w:tc>
          <w:tcPr>
            <w:tcW w:w="3485" w:type="pct"/>
            <w:vAlign w:val="center"/>
          </w:tcPr>
          <w:p w14:paraId="710B7401">
            <w:pPr>
              <w:widowControl/>
              <w:jc w:val="left"/>
              <w:textAlignment w:val="center"/>
              <w:rPr>
                <w:rFonts w:hint="eastAsia" w:ascii="宋体" w:hAnsi="宋体" w:eastAsia="宋体" w:cs="宋体"/>
                <w:kern w:val="0"/>
                <w:sz w:val="20"/>
                <w:szCs w:val="21"/>
              </w:rPr>
            </w:pPr>
            <w:r>
              <w:rPr>
                <w:rFonts w:hint="eastAsia" w:ascii="宋体" w:hAnsi="宋体" w:eastAsia="宋体" w:cs="宋体"/>
                <w:kern w:val="0"/>
                <w:sz w:val="20"/>
                <w:szCs w:val="21"/>
              </w:rPr>
              <w:t>可下载医保移动支付混合支付自费部分账单。</w:t>
            </w:r>
          </w:p>
        </w:tc>
      </w:tr>
    </w:tbl>
    <w:p w14:paraId="70C36D2B"/>
    <w:bookmarkEnd w:id="0"/>
    <w:bookmarkEnd w:id="1"/>
    <w:bookmarkEnd w:id="2"/>
    <w:bookmarkEnd w:id="3"/>
    <w:bookmarkEnd w:id="4"/>
    <w:bookmarkEnd w:id="5"/>
    <w:bookmarkEnd w:id="6"/>
    <w:bookmarkEnd w:id="7"/>
    <w:bookmarkEnd w:id="8"/>
    <w:p w14:paraId="14401085">
      <w:pPr>
        <w:spacing w:line="312" w:lineRule="auto"/>
        <w:rPr>
          <w:rFonts w:hint="eastAsia" w:ascii="宋体" w:hAnsi="宋体" w:eastAsia="宋体" w:cs="宋体"/>
          <w:b/>
          <w:bCs/>
          <w:sz w:val="24"/>
        </w:rPr>
      </w:pPr>
      <w:r>
        <w:rPr>
          <w:rFonts w:hint="eastAsia" w:ascii="宋体" w:hAnsi="宋体" w:eastAsia="宋体" w:cs="宋体"/>
          <w:b/>
          <w:bCs/>
          <w:sz w:val="24"/>
        </w:rPr>
        <w:t>二、服务要求</w:t>
      </w:r>
    </w:p>
    <w:p w14:paraId="78C68891">
      <w:pPr>
        <w:pStyle w:val="2"/>
        <w:spacing w:line="360" w:lineRule="auto"/>
        <w:ind w:firstLine="480" w:firstLineChars="200"/>
        <w:rPr>
          <w:rFonts w:hint="eastAsia" w:ascii="宋体" w:hAnsi="宋体" w:eastAsia="宋体"/>
          <w:sz w:val="24"/>
        </w:rPr>
      </w:pPr>
      <w:r>
        <w:rPr>
          <w:rFonts w:hint="eastAsia" w:ascii="宋体" w:hAnsi="宋体" w:eastAsia="宋体"/>
          <w:sz w:val="24"/>
        </w:rPr>
        <w:t>技术支撑服务人员主要对解决医院医保移动支付系统相关问题提供技术支撑服务，服务要求如下：</w:t>
      </w:r>
    </w:p>
    <w:p w14:paraId="7372231A">
      <w:pPr>
        <w:pStyle w:val="2"/>
        <w:spacing w:line="360" w:lineRule="auto"/>
        <w:ind w:firstLine="480" w:firstLineChars="200"/>
        <w:rPr>
          <w:rFonts w:hint="eastAsia" w:ascii="宋体" w:hAnsi="宋体" w:eastAsia="宋体"/>
          <w:sz w:val="24"/>
        </w:rPr>
      </w:pPr>
      <w:r>
        <w:rPr>
          <w:rFonts w:hint="eastAsia" w:ascii="宋体" w:hAnsi="宋体" w:eastAsia="宋体"/>
          <w:sz w:val="24"/>
        </w:rPr>
        <w:t xml:space="preserve">1、人员要求 </w:t>
      </w:r>
    </w:p>
    <w:p w14:paraId="7CB9832B">
      <w:pPr>
        <w:pStyle w:val="2"/>
        <w:spacing w:line="360" w:lineRule="auto"/>
        <w:ind w:firstLine="480" w:firstLineChars="200"/>
        <w:rPr>
          <w:rFonts w:hint="eastAsia" w:ascii="宋体" w:hAnsi="宋体" w:eastAsia="宋体"/>
          <w:sz w:val="24"/>
        </w:rPr>
      </w:pPr>
      <w:r>
        <w:rPr>
          <w:rFonts w:hint="eastAsia" w:ascii="宋体" w:hAnsi="宋体" w:eastAsia="宋体"/>
          <w:sz w:val="24"/>
        </w:rPr>
        <w:t>成立系统运维服务组（提供2名维护人员、工作年限不少于2年），开展但不限于以下的服务工作：为医院医保移动支付系统提供服务请求响应及处理、技术咨询支持。</w:t>
      </w:r>
      <w:r>
        <w:rPr>
          <w:rFonts w:ascii="宋体" w:hAnsi="宋体" w:eastAsia="宋体"/>
          <w:sz w:val="24"/>
        </w:rPr>
        <w:t>若系统出现故障，</w:t>
      </w:r>
      <w:r>
        <w:rPr>
          <w:rFonts w:hint="eastAsia" w:ascii="宋体" w:hAnsi="宋体" w:eastAsia="宋体"/>
          <w:sz w:val="24"/>
        </w:rPr>
        <w:t>维护</w:t>
      </w:r>
      <w:r>
        <w:rPr>
          <w:rFonts w:ascii="宋体" w:hAnsi="宋体" w:eastAsia="宋体"/>
          <w:sz w:val="24"/>
        </w:rPr>
        <w:t>人员立即做出分析并与</w:t>
      </w:r>
      <w:r>
        <w:rPr>
          <w:rFonts w:hint="eastAsia" w:ascii="宋体" w:hAnsi="宋体" w:eastAsia="宋体"/>
          <w:sz w:val="24"/>
        </w:rPr>
        <w:t>医院</w:t>
      </w:r>
      <w:r>
        <w:rPr>
          <w:rFonts w:ascii="宋体" w:hAnsi="宋体" w:eastAsia="宋体"/>
          <w:sz w:val="24"/>
        </w:rPr>
        <w:t>进行沟通处理工作，倘若不能协调解决的故障，应在2小时内做出明确的响应和安排；如</w:t>
      </w:r>
      <w:r>
        <w:rPr>
          <w:rFonts w:hint="eastAsia" w:ascii="宋体" w:hAnsi="宋体" w:eastAsia="宋体"/>
          <w:sz w:val="24"/>
        </w:rPr>
        <w:t>有</w:t>
      </w:r>
      <w:r>
        <w:rPr>
          <w:rFonts w:ascii="宋体" w:hAnsi="宋体" w:eastAsia="宋体"/>
          <w:sz w:val="24"/>
        </w:rPr>
        <w:t>需派人员现场服务的</w:t>
      </w:r>
      <w:r>
        <w:rPr>
          <w:rFonts w:hint="eastAsia" w:ascii="宋体" w:hAnsi="宋体" w:eastAsia="宋体"/>
          <w:sz w:val="24"/>
        </w:rPr>
        <w:t>才能处理的特殊情况</w:t>
      </w:r>
      <w:r>
        <w:rPr>
          <w:rFonts w:ascii="宋体" w:hAnsi="宋体" w:eastAsia="宋体"/>
          <w:sz w:val="24"/>
        </w:rPr>
        <w:t>，应在</w:t>
      </w:r>
      <w:r>
        <w:rPr>
          <w:rFonts w:hint="eastAsia" w:ascii="宋体" w:hAnsi="宋体" w:eastAsia="宋体"/>
          <w:sz w:val="24"/>
        </w:rPr>
        <w:t>72</w:t>
      </w:r>
      <w:r>
        <w:rPr>
          <w:rFonts w:ascii="宋体" w:hAnsi="宋体" w:eastAsia="宋体"/>
          <w:sz w:val="24"/>
        </w:rPr>
        <w:t>小时内另派技术人员到达用户现场进行故障处理</w:t>
      </w:r>
      <w:r>
        <w:rPr>
          <w:rFonts w:hint="eastAsia" w:ascii="宋体" w:hAnsi="宋体" w:eastAsia="宋体"/>
          <w:sz w:val="24"/>
        </w:rPr>
        <w:t>。工作日常态开展5*8小时响应服务，紧急情况按半小时内响应，非紧急情况2小时内排查处理完毕或提供有效解决方案。</w:t>
      </w:r>
    </w:p>
    <w:p w14:paraId="73EA0A05">
      <w:pPr>
        <w:pStyle w:val="2"/>
        <w:spacing w:line="360" w:lineRule="auto"/>
        <w:ind w:firstLine="480" w:firstLineChars="200"/>
        <w:rPr>
          <w:rFonts w:hint="eastAsia" w:ascii="宋体" w:hAnsi="宋体" w:eastAsia="宋体"/>
          <w:sz w:val="24"/>
        </w:rPr>
      </w:pPr>
      <w:r>
        <w:rPr>
          <w:rFonts w:hint="eastAsia" w:ascii="宋体" w:hAnsi="宋体" w:eastAsia="宋体"/>
          <w:sz w:val="24"/>
        </w:rPr>
        <w:t>2、系统运维服务</w:t>
      </w:r>
    </w:p>
    <w:p w14:paraId="748F5654">
      <w:pPr>
        <w:pStyle w:val="2"/>
        <w:spacing w:line="360" w:lineRule="auto"/>
        <w:ind w:firstLine="480" w:firstLineChars="200"/>
        <w:rPr>
          <w:rFonts w:hint="eastAsia" w:ascii="宋体" w:hAnsi="宋体" w:eastAsia="宋体"/>
          <w:sz w:val="24"/>
        </w:rPr>
      </w:pPr>
      <w:r>
        <w:rPr>
          <w:rFonts w:hint="eastAsia" w:ascii="宋体" w:hAnsi="宋体" w:eastAsia="宋体"/>
          <w:sz w:val="24"/>
        </w:rPr>
        <w:t>2.1</w:t>
      </w:r>
      <w:r>
        <w:rPr>
          <w:rFonts w:ascii="宋体" w:hAnsi="宋体" w:eastAsia="宋体"/>
          <w:sz w:val="24"/>
        </w:rPr>
        <w:t>功能应用维护</w:t>
      </w:r>
    </w:p>
    <w:p w14:paraId="39EFBFBD">
      <w:pPr>
        <w:pStyle w:val="2"/>
        <w:spacing w:line="360" w:lineRule="auto"/>
        <w:ind w:firstLine="480" w:firstLineChars="200"/>
        <w:rPr>
          <w:rFonts w:hint="eastAsia" w:ascii="宋体" w:hAnsi="宋体" w:eastAsia="宋体"/>
          <w:sz w:val="24"/>
        </w:rPr>
      </w:pPr>
      <w:r>
        <w:rPr>
          <w:rFonts w:ascii="宋体" w:hAnsi="宋体" w:eastAsia="宋体"/>
          <w:sz w:val="24"/>
        </w:rPr>
        <w:t>2.1.1稳定运行保障：保证院方</w:t>
      </w:r>
      <w:bookmarkStart w:id="9" w:name="_Hlk186190701"/>
      <w:r>
        <w:rPr>
          <w:rFonts w:hint="eastAsia" w:ascii="宋体" w:hAnsi="宋体" w:eastAsia="宋体"/>
          <w:sz w:val="24"/>
        </w:rPr>
        <w:t>医保移动支付平台</w:t>
      </w:r>
      <w:bookmarkEnd w:id="9"/>
      <w:r>
        <w:rPr>
          <w:rFonts w:ascii="宋体" w:hAnsi="宋体" w:eastAsia="宋体"/>
          <w:sz w:val="24"/>
        </w:rPr>
        <w:t>功能的完整及正确性，保证系统运行的高效、稳定。</w:t>
      </w:r>
    </w:p>
    <w:p w14:paraId="3D9B8CCD">
      <w:pPr>
        <w:pStyle w:val="2"/>
        <w:spacing w:line="360" w:lineRule="auto"/>
        <w:ind w:firstLine="480" w:firstLineChars="200"/>
        <w:rPr>
          <w:rFonts w:hint="eastAsia" w:ascii="宋体" w:hAnsi="宋体" w:eastAsia="宋体"/>
          <w:sz w:val="24"/>
        </w:rPr>
      </w:pPr>
      <w:r>
        <w:rPr>
          <w:rFonts w:ascii="宋体" w:hAnsi="宋体" w:eastAsia="宋体"/>
          <w:sz w:val="24"/>
        </w:rPr>
        <w:t>2.1.</w:t>
      </w:r>
      <w:r>
        <w:rPr>
          <w:rFonts w:hint="eastAsia" w:ascii="宋体" w:hAnsi="宋体" w:eastAsia="宋体"/>
          <w:sz w:val="24"/>
        </w:rPr>
        <w:t>4</w:t>
      </w:r>
      <w:r>
        <w:rPr>
          <w:rFonts w:ascii="宋体" w:hAnsi="宋体" w:eastAsia="宋体"/>
          <w:sz w:val="24"/>
        </w:rPr>
        <w:t>咨询服务：提供软件功能的咨询和日常维护的咨询。</w:t>
      </w:r>
    </w:p>
    <w:p w14:paraId="137577D5">
      <w:pPr>
        <w:pStyle w:val="2"/>
        <w:spacing w:line="360" w:lineRule="auto"/>
        <w:ind w:firstLine="480" w:firstLineChars="200"/>
        <w:rPr>
          <w:rFonts w:hint="eastAsia" w:ascii="宋体" w:hAnsi="宋体" w:eastAsia="宋体"/>
          <w:sz w:val="24"/>
        </w:rPr>
      </w:pPr>
      <w:r>
        <w:rPr>
          <w:rFonts w:ascii="宋体" w:hAnsi="宋体" w:eastAsia="宋体"/>
          <w:sz w:val="24"/>
        </w:rPr>
        <w:t>2.2数据</w:t>
      </w:r>
      <w:r>
        <w:rPr>
          <w:rFonts w:hint="eastAsia" w:ascii="宋体" w:hAnsi="宋体" w:eastAsia="宋体"/>
          <w:sz w:val="24"/>
        </w:rPr>
        <w:t>服务</w:t>
      </w:r>
    </w:p>
    <w:p w14:paraId="1C82D450">
      <w:pPr>
        <w:pStyle w:val="2"/>
        <w:spacing w:line="360" w:lineRule="auto"/>
        <w:ind w:firstLine="480" w:firstLineChars="200"/>
        <w:rPr>
          <w:rFonts w:hint="eastAsia" w:ascii="宋体" w:hAnsi="宋体" w:eastAsia="宋体"/>
          <w:sz w:val="24"/>
        </w:rPr>
      </w:pPr>
      <w:r>
        <w:rPr>
          <w:rFonts w:ascii="宋体" w:hAnsi="宋体" w:eastAsia="宋体"/>
          <w:sz w:val="24"/>
        </w:rPr>
        <w:t>2.2.1数据恢复：因其它原因导致系统数据丢失，进行数据恢复。</w:t>
      </w:r>
    </w:p>
    <w:p w14:paraId="6217C1CC">
      <w:pPr>
        <w:pStyle w:val="2"/>
        <w:spacing w:line="360" w:lineRule="auto"/>
        <w:ind w:firstLine="480" w:firstLineChars="200"/>
        <w:rPr>
          <w:rFonts w:hint="eastAsia" w:ascii="宋体" w:hAnsi="宋体" w:eastAsia="宋体"/>
          <w:sz w:val="24"/>
        </w:rPr>
      </w:pPr>
      <w:r>
        <w:rPr>
          <w:rFonts w:ascii="宋体" w:hAnsi="宋体" w:eastAsia="宋体"/>
          <w:sz w:val="24"/>
        </w:rPr>
        <w:t>2.2.2数据备份：提供</w:t>
      </w:r>
      <w:r>
        <w:rPr>
          <w:rFonts w:hint="eastAsia" w:ascii="宋体" w:hAnsi="宋体" w:eastAsia="宋体"/>
          <w:sz w:val="24"/>
        </w:rPr>
        <w:t>医保移动支付平台</w:t>
      </w:r>
      <w:r>
        <w:rPr>
          <w:rFonts w:ascii="宋体" w:hAnsi="宋体" w:eastAsia="宋体"/>
          <w:sz w:val="24"/>
        </w:rPr>
        <w:t>的数据备份工作，每周全量备份。</w:t>
      </w:r>
    </w:p>
    <w:p w14:paraId="4472ACEA">
      <w:pPr>
        <w:pStyle w:val="2"/>
        <w:spacing w:line="360" w:lineRule="auto"/>
        <w:ind w:firstLine="480" w:firstLineChars="200"/>
        <w:rPr>
          <w:rFonts w:hint="eastAsia" w:ascii="宋体" w:hAnsi="宋体" w:eastAsia="宋体"/>
          <w:sz w:val="24"/>
        </w:rPr>
      </w:pPr>
      <w:r>
        <w:rPr>
          <w:rFonts w:ascii="宋体" w:hAnsi="宋体" w:eastAsia="宋体"/>
          <w:sz w:val="24"/>
        </w:rPr>
        <w:t>2.2.</w:t>
      </w:r>
      <w:r>
        <w:rPr>
          <w:rFonts w:hint="eastAsia" w:ascii="宋体" w:hAnsi="宋体" w:eastAsia="宋体"/>
          <w:sz w:val="24"/>
        </w:rPr>
        <w:t>3</w:t>
      </w:r>
      <w:r>
        <w:rPr>
          <w:rFonts w:ascii="宋体" w:hAnsi="宋体" w:eastAsia="宋体"/>
          <w:sz w:val="24"/>
        </w:rPr>
        <w:t>数据保密：对医院的所有数据，不得私自提供给第三方，如</w:t>
      </w:r>
      <w:r>
        <w:rPr>
          <w:rFonts w:hint="eastAsia" w:ascii="宋体" w:hAnsi="宋体" w:eastAsia="宋体"/>
          <w:sz w:val="24"/>
        </w:rPr>
        <w:t>因供应商原因</w:t>
      </w:r>
      <w:r>
        <w:rPr>
          <w:rFonts w:ascii="宋体" w:hAnsi="宋体" w:eastAsia="宋体"/>
          <w:sz w:val="24"/>
        </w:rPr>
        <w:t>造成信息数据泄露，由供应商承担全部的法律责任和经济赔偿。</w:t>
      </w:r>
    </w:p>
    <w:p w14:paraId="7E6065DF">
      <w:pPr>
        <w:pStyle w:val="2"/>
        <w:spacing w:line="360" w:lineRule="auto"/>
        <w:ind w:firstLine="480" w:firstLineChars="200"/>
        <w:rPr>
          <w:rFonts w:hint="eastAsia" w:ascii="宋体" w:hAnsi="宋体" w:eastAsia="宋体"/>
          <w:sz w:val="24"/>
        </w:rPr>
      </w:pPr>
      <w:r>
        <w:rPr>
          <w:rFonts w:hint="eastAsia" w:ascii="宋体" w:hAnsi="宋体" w:eastAsia="宋体"/>
          <w:sz w:val="24"/>
        </w:rPr>
        <w:t>2.2.4单边账问题运维</w:t>
      </w:r>
    </w:p>
    <w:p w14:paraId="5331062F">
      <w:pPr>
        <w:pStyle w:val="2"/>
        <w:spacing w:line="360" w:lineRule="auto"/>
        <w:ind w:firstLine="480" w:firstLineChars="200"/>
        <w:rPr>
          <w:rFonts w:hint="eastAsia" w:ascii="宋体" w:hAnsi="宋体" w:eastAsia="宋体"/>
          <w:sz w:val="24"/>
        </w:rPr>
      </w:pPr>
      <w:r>
        <w:rPr>
          <w:rFonts w:hint="eastAsia" w:ascii="宋体" w:hAnsi="宋体" w:eastAsia="宋体"/>
          <w:sz w:val="24"/>
        </w:rPr>
        <w:t>对医院医保移动支付系统产生的单边账数据，根据运维规范进行数据维护。</w:t>
      </w:r>
    </w:p>
    <w:p w14:paraId="1AC721C0">
      <w:pPr>
        <w:pStyle w:val="2"/>
        <w:spacing w:line="360" w:lineRule="auto"/>
        <w:ind w:firstLine="480" w:firstLineChars="200"/>
        <w:rPr>
          <w:rFonts w:hint="eastAsia" w:ascii="宋体" w:hAnsi="宋体" w:eastAsia="宋体"/>
          <w:sz w:val="24"/>
        </w:rPr>
      </w:pPr>
      <w:r>
        <w:rPr>
          <w:rFonts w:hint="eastAsia" w:ascii="宋体" w:hAnsi="宋体" w:eastAsia="宋体"/>
          <w:sz w:val="24"/>
        </w:rPr>
        <w:t>3、服务器巡检及问题处理</w:t>
      </w:r>
    </w:p>
    <w:p w14:paraId="64669312">
      <w:pPr>
        <w:pStyle w:val="2"/>
        <w:spacing w:line="360" w:lineRule="auto"/>
        <w:ind w:firstLine="480" w:firstLineChars="200"/>
        <w:rPr>
          <w:rFonts w:hint="eastAsia" w:ascii="宋体" w:hAnsi="宋体" w:eastAsia="宋体"/>
          <w:sz w:val="24"/>
        </w:rPr>
      </w:pPr>
      <w:r>
        <w:rPr>
          <w:rFonts w:hint="eastAsia" w:ascii="宋体" w:hAnsi="宋体" w:eastAsia="宋体"/>
          <w:sz w:val="24"/>
        </w:rPr>
        <w:t>每月对服务器进行巡检及问题处理，巡检内容包括应用运行状态，资源使用率检查，如有异常及时反馈医院并进行及时处理，确保服务正常运行。</w:t>
      </w:r>
    </w:p>
    <w:p w14:paraId="4E250EF3">
      <w:pPr>
        <w:pStyle w:val="2"/>
        <w:spacing w:line="360" w:lineRule="auto"/>
        <w:ind w:firstLine="480" w:firstLineChars="200"/>
        <w:rPr>
          <w:rFonts w:hint="eastAsia" w:ascii="宋体" w:hAnsi="宋体" w:eastAsia="宋体"/>
          <w:sz w:val="24"/>
        </w:rPr>
      </w:pPr>
      <w:r>
        <w:rPr>
          <w:rFonts w:hint="eastAsia" w:ascii="宋体" w:hAnsi="宋体" w:eastAsia="宋体"/>
          <w:sz w:val="24"/>
        </w:rPr>
        <w:t>4、系统运行服务</w:t>
      </w:r>
    </w:p>
    <w:p w14:paraId="7EBB7251">
      <w:pPr>
        <w:pStyle w:val="2"/>
        <w:spacing w:line="360" w:lineRule="auto"/>
        <w:ind w:firstLine="480" w:firstLineChars="200"/>
        <w:rPr>
          <w:rFonts w:hint="eastAsia" w:ascii="宋体" w:hAnsi="宋体" w:eastAsia="宋体"/>
          <w:sz w:val="24"/>
        </w:rPr>
      </w:pPr>
      <w:r>
        <w:rPr>
          <w:rFonts w:hint="eastAsia" w:ascii="宋体" w:hAnsi="宋体" w:eastAsia="宋体"/>
          <w:sz w:val="24"/>
        </w:rPr>
        <w:t>对医院医保移动支付系统，提供使用中各类问题咨询、故障分析、操作指导及协调沟通工作。</w:t>
      </w:r>
    </w:p>
    <w:p w14:paraId="5746FE9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等线 Light">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30A9D1"/>
    <w:multiLevelType w:val="singleLevel"/>
    <w:tmpl w:val="9530A9D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characterSpacingControl w:val="doNotCompress"/>
  <w:compat>
    <w:useFELayout/>
    <w:compatSetting w:name="compatibilityMode" w:uri="http://schemas.microsoft.com/office/word" w:val="12"/>
  </w:compat>
  <w:rsids>
    <w:rsidRoot w:val="00A1412F"/>
    <w:rsid w:val="00053BC1"/>
    <w:rsid w:val="0014290A"/>
    <w:rsid w:val="002F6327"/>
    <w:rsid w:val="005B6264"/>
    <w:rsid w:val="008706D8"/>
    <w:rsid w:val="00A1412F"/>
    <w:rsid w:val="00AC53CC"/>
    <w:rsid w:val="00C86212"/>
    <w:rsid w:val="00DF3898"/>
    <w:rsid w:val="00E43588"/>
    <w:rsid w:val="2C0662FA"/>
    <w:rsid w:val="2CA72E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14:ligatures w14:val="none"/>
    </w:rPr>
  </w:style>
  <w:style w:type="paragraph" w:styleId="3">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0F4761" w:themeColor="accent1" w:themeShade="BF"/>
      <w:sz w:val="48"/>
      <w:szCs w:val="48"/>
    </w:rPr>
  </w:style>
  <w:style w:type="paragraph" w:styleId="4">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40"/>
      <w:szCs w:val="40"/>
    </w:rPr>
  </w:style>
  <w:style w:type="paragraph" w:styleId="5">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0F4761" w:themeColor="accent1" w:themeShade="BF"/>
      <w:sz w:val="32"/>
      <w:szCs w:val="32"/>
    </w:rPr>
  </w:style>
  <w:style w:type="paragraph" w:styleId="6">
    <w:name w:val="heading 4"/>
    <w:basedOn w:val="1"/>
    <w:next w:val="1"/>
    <w:link w:val="22"/>
    <w:semiHidden/>
    <w:unhideWhenUsed/>
    <w:qFormat/>
    <w:uiPriority w:val="9"/>
    <w:pPr>
      <w:keepNext/>
      <w:keepLines/>
      <w:spacing w:before="80" w:after="40"/>
      <w:outlineLvl w:val="3"/>
    </w:pPr>
    <w:rPr>
      <w:rFonts w:cstheme="majorBidi"/>
      <w:color w:val="0F4761" w:themeColor="accent1" w:themeShade="BF"/>
      <w:sz w:val="28"/>
      <w:szCs w:val="28"/>
    </w:rPr>
  </w:style>
  <w:style w:type="paragraph" w:styleId="7">
    <w:name w:val="heading 5"/>
    <w:basedOn w:val="1"/>
    <w:next w:val="1"/>
    <w:link w:val="23"/>
    <w:semiHidden/>
    <w:unhideWhenUsed/>
    <w:qFormat/>
    <w:uiPriority w:val="9"/>
    <w:pPr>
      <w:keepNext/>
      <w:keepLines/>
      <w:spacing w:before="80" w:after="40"/>
      <w:outlineLvl w:val="4"/>
    </w:pPr>
    <w:rPr>
      <w:rFonts w:cstheme="majorBidi"/>
      <w:color w:val="0F4761" w:themeColor="accent1" w:themeShade="BF"/>
    </w:rPr>
  </w:style>
  <w:style w:type="paragraph" w:styleId="8">
    <w:name w:val="heading 6"/>
    <w:basedOn w:val="1"/>
    <w:next w:val="1"/>
    <w:link w:val="24"/>
    <w:semiHidden/>
    <w:unhideWhenUsed/>
    <w:qFormat/>
    <w:uiPriority w:val="9"/>
    <w:pPr>
      <w:keepNext/>
      <w:keepLines/>
      <w:spacing w:before="40"/>
      <w:outlineLvl w:val="5"/>
    </w:pPr>
    <w:rPr>
      <w:rFonts w:cstheme="majorBidi"/>
      <w:b/>
      <w:bCs/>
      <w:color w:val="0F4761" w:themeColor="accent1" w:themeShade="BF"/>
    </w:rPr>
  </w:style>
  <w:style w:type="paragraph" w:styleId="9">
    <w:name w:val="heading 7"/>
    <w:basedOn w:val="1"/>
    <w:next w:val="1"/>
    <w:link w:val="25"/>
    <w:semiHidden/>
    <w:unhideWhenUsed/>
    <w:qFormat/>
    <w:uiPriority w:val="9"/>
    <w:pPr>
      <w:keepNext/>
      <w:keepLines/>
      <w:spacing w:before="40"/>
      <w:outlineLvl w:val="6"/>
    </w:pPr>
    <w:rPr>
      <w:rFonts w:cstheme="majorBidi"/>
      <w:b/>
      <w:bCs/>
      <w:color w:val="585858" w:themeColor="text1" w:themeTint="A6"/>
    </w:rPr>
  </w:style>
  <w:style w:type="paragraph" w:styleId="10">
    <w:name w:val="heading 8"/>
    <w:basedOn w:val="1"/>
    <w:next w:val="1"/>
    <w:link w:val="26"/>
    <w:semiHidden/>
    <w:unhideWhenUsed/>
    <w:qFormat/>
    <w:uiPriority w:val="9"/>
    <w:pPr>
      <w:keepNext/>
      <w:keepLines/>
      <w:outlineLvl w:val="7"/>
    </w:pPr>
    <w:rPr>
      <w:rFonts w:cstheme="majorBidi"/>
      <w:color w:val="585858" w:themeColor="text1" w:themeTint="A6"/>
    </w:rPr>
  </w:style>
  <w:style w:type="paragraph" w:styleId="11">
    <w:name w:val="heading 9"/>
    <w:basedOn w:val="1"/>
    <w:next w:val="1"/>
    <w:link w:val="27"/>
    <w:semiHidden/>
    <w:unhideWhenUsed/>
    <w:qFormat/>
    <w:uiPriority w:val="9"/>
    <w:pPr>
      <w:keepNext/>
      <w:keepLines/>
      <w:outlineLvl w:val="8"/>
    </w:pPr>
    <w:rPr>
      <w:rFonts w:eastAsiaTheme="majorEastAsia" w:cstheme="majorBidi"/>
      <w:color w:val="585858" w:themeColor="text1" w:themeTint="A6"/>
    </w:rPr>
  </w:style>
  <w:style w:type="character" w:default="1" w:styleId="18">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9"/>
    <w:qFormat/>
    <w:uiPriority w:val="0"/>
    <w:pPr>
      <w:spacing w:after="120"/>
    </w:pPr>
  </w:style>
  <w:style w:type="paragraph" w:styleId="12">
    <w:name w:val="footer"/>
    <w:basedOn w:val="1"/>
    <w:link w:val="38"/>
    <w:unhideWhenUsed/>
    <w:qFormat/>
    <w:uiPriority w:val="99"/>
    <w:pPr>
      <w:tabs>
        <w:tab w:val="center" w:pos="4153"/>
        <w:tab w:val="right" w:pos="8306"/>
      </w:tabs>
      <w:snapToGrid w:val="0"/>
      <w:jc w:val="left"/>
    </w:pPr>
    <w:rPr>
      <w:sz w:val="18"/>
      <w:szCs w:val="18"/>
    </w:rPr>
  </w:style>
  <w:style w:type="paragraph" w:styleId="13">
    <w:name w:val="header"/>
    <w:basedOn w:val="1"/>
    <w:link w:val="37"/>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85858" w:themeColor="text1" w:themeTint="A6"/>
      <w:spacing w:val="15"/>
      <w:sz w:val="28"/>
      <w:szCs w:val="28"/>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0"/>
    <w:pPr>
      <w:widowControl w:val="0"/>
      <w:jc w:val="both"/>
    </w:pPr>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1 字符"/>
    <w:basedOn w:val="18"/>
    <w:link w:val="3"/>
    <w:qFormat/>
    <w:uiPriority w:val="9"/>
    <w:rPr>
      <w:rFonts w:asciiTheme="majorHAnsi" w:hAnsiTheme="majorHAnsi" w:eastAsiaTheme="majorEastAsia" w:cstheme="majorBidi"/>
      <w:color w:val="0F4761" w:themeColor="accent1" w:themeShade="BF"/>
      <w:sz w:val="48"/>
      <w:szCs w:val="48"/>
    </w:rPr>
  </w:style>
  <w:style w:type="character" w:customStyle="1" w:styleId="20">
    <w:name w:val="标题 2 字符"/>
    <w:basedOn w:val="18"/>
    <w:link w:val="4"/>
    <w:semiHidden/>
    <w:qFormat/>
    <w:uiPriority w:val="9"/>
    <w:rPr>
      <w:rFonts w:asciiTheme="majorHAnsi" w:hAnsiTheme="majorHAnsi" w:eastAsiaTheme="majorEastAsia" w:cstheme="majorBidi"/>
      <w:color w:val="0F4761" w:themeColor="accent1" w:themeShade="BF"/>
      <w:sz w:val="40"/>
      <w:szCs w:val="40"/>
    </w:rPr>
  </w:style>
  <w:style w:type="character" w:customStyle="1" w:styleId="21">
    <w:name w:val="标题 3 字符"/>
    <w:basedOn w:val="18"/>
    <w:link w:val="5"/>
    <w:semiHidden/>
    <w:qFormat/>
    <w:uiPriority w:val="9"/>
    <w:rPr>
      <w:rFonts w:asciiTheme="majorHAnsi" w:hAnsiTheme="majorHAnsi" w:eastAsiaTheme="majorEastAsia" w:cstheme="majorBidi"/>
      <w:color w:val="0F4761" w:themeColor="accent1" w:themeShade="BF"/>
      <w:sz w:val="32"/>
      <w:szCs w:val="32"/>
    </w:rPr>
  </w:style>
  <w:style w:type="character" w:customStyle="1" w:styleId="22">
    <w:name w:val="标题 4 字符"/>
    <w:basedOn w:val="18"/>
    <w:link w:val="6"/>
    <w:semiHidden/>
    <w:uiPriority w:val="9"/>
    <w:rPr>
      <w:rFonts w:cstheme="majorBidi"/>
      <w:color w:val="0F4761" w:themeColor="accent1" w:themeShade="BF"/>
      <w:sz w:val="28"/>
      <w:szCs w:val="28"/>
    </w:rPr>
  </w:style>
  <w:style w:type="character" w:customStyle="1" w:styleId="23">
    <w:name w:val="标题 5 字符"/>
    <w:basedOn w:val="18"/>
    <w:link w:val="7"/>
    <w:semiHidden/>
    <w:qFormat/>
    <w:uiPriority w:val="9"/>
    <w:rPr>
      <w:rFonts w:cstheme="majorBidi"/>
      <w:color w:val="0F4761" w:themeColor="accent1" w:themeShade="BF"/>
      <w:sz w:val="24"/>
      <w:szCs w:val="24"/>
    </w:rPr>
  </w:style>
  <w:style w:type="character" w:customStyle="1" w:styleId="24">
    <w:name w:val="标题 6 字符"/>
    <w:basedOn w:val="18"/>
    <w:link w:val="8"/>
    <w:semiHidden/>
    <w:qFormat/>
    <w:uiPriority w:val="9"/>
    <w:rPr>
      <w:rFonts w:cstheme="majorBidi"/>
      <w:b/>
      <w:bCs/>
      <w:color w:val="0F4761" w:themeColor="accent1" w:themeShade="BF"/>
      <w:sz w:val="24"/>
    </w:rPr>
  </w:style>
  <w:style w:type="character" w:customStyle="1" w:styleId="25">
    <w:name w:val="标题 7 字符"/>
    <w:basedOn w:val="18"/>
    <w:link w:val="9"/>
    <w:semiHidden/>
    <w:qFormat/>
    <w:uiPriority w:val="9"/>
    <w:rPr>
      <w:rFonts w:cstheme="majorBidi"/>
      <w:b/>
      <w:bCs/>
      <w:color w:val="585858" w:themeColor="text1" w:themeTint="A6"/>
      <w:sz w:val="24"/>
    </w:rPr>
  </w:style>
  <w:style w:type="character" w:customStyle="1" w:styleId="26">
    <w:name w:val="标题 8 字符"/>
    <w:basedOn w:val="18"/>
    <w:link w:val="10"/>
    <w:semiHidden/>
    <w:qFormat/>
    <w:uiPriority w:val="9"/>
    <w:rPr>
      <w:rFonts w:cstheme="majorBidi"/>
      <w:color w:val="585858" w:themeColor="text1" w:themeTint="A6"/>
      <w:sz w:val="24"/>
    </w:rPr>
  </w:style>
  <w:style w:type="character" w:customStyle="1" w:styleId="27">
    <w:name w:val="标题 9 字符"/>
    <w:basedOn w:val="18"/>
    <w:link w:val="11"/>
    <w:semiHidden/>
    <w:qFormat/>
    <w:uiPriority w:val="9"/>
    <w:rPr>
      <w:rFonts w:eastAsiaTheme="majorEastAsia" w:cstheme="majorBidi"/>
      <w:color w:val="585858" w:themeColor="text1" w:themeTint="A6"/>
      <w:sz w:val="24"/>
    </w:rPr>
  </w:style>
  <w:style w:type="character" w:customStyle="1" w:styleId="28">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4"/>
    <w:qFormat/>
    <w:uiPriority w:val="11"/>
    <w:rPr>
      <w:rFonts w:asciiTheme="majorHAnsi" w:hAnsiTheme="majorHAnsi" w:eastAsiaTheme="majorEastAsia" w:cstheme="majorBidi"/>
      <w:color w:val="585858" w:themeColor="text1" w:themeTint="A6"/>
      <w:spacing w:val="15"/>
      <w:sz w:val="28"/>
      <w:szCs w:val="28"/>
    </w:rPr>
  </w:style>
  <w:style w:type="paragraph" w:styleId="30">
    <w:name w:val="Quote"/>
    <w:basedOn w:val="1"/>
    <w:next w:val="1"/>
    <w:link w:val="31"/>
    <w:qFormat/>
    <w:uiPriority w:val="29"/>
    <w:pPr>
      <w:spacing w:before="160" w:after="160"/>
      <w:jc w:val="center"/>
    </w:pPr>
    <w:rPr>
      <w:i/>
      <w:iCs/>
      <w:color w:val="3F3F3F" w:themeColor="text1" w:themeTint="BF"/>
    </w:rPr>
  </w:style>
  <w:style w:type="character" w:customStyle="1" w:styleId="31">
    <w:name w:val="引用 字符"/>
    <w:basedOn w:val="18"/>
    <w:link w:val="30"/>
    <w:qFormat/>
    <w:uiPriority w:val="29"/>
    <w:rPr>
      <w:rFonts w:ascii="Times New Roman" w:hAnsi="Times New Roman" w:eastAsia="宋体"/>
      <w:i/>
      <w:iCs/>
      <w:color w:val="3F3F3F" w:themeColor="text1" w:themeTint="BF"/>
      <w:sz w:val="24"/>
    </w:rPr>
  </w:style>
  <w:style w:type="paragraph" w:styleId="32">
    <w:name w:val="List Paragraph"/>
    <w:basedOn w:val="1"/>
    <w:qFormat/>
    <w:uiPriority w:val="34"/>
    <w:pPr>
      <w:ind w:left="720"/>
      <w:contextualSpacing/>
    </w:pPr>
  </w:style>
  <w:style w:type="character" w:customStyle="1" w:styleId="33">
    <w:name w:val="Intense Emphasis"/>
    <w:basedOn w:val="18"/>
    <w:qFormat/>
    <w:uiPriority w:val="21"/>
    <w:rPr>
      <w:i/>
      <w:iCs/>
      <w:color w:val="0F4761"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customStyle="1" w:styleId="35">
    <w:name w:val="明显引用 字符"/>
    <w:basedOn w:val="18"/>
    <w:link w:val="34"/>
    <w:qFormat/>
    <w:uiPriority w:val="30"/>
    <w:rPr>
      <w:rFonts w:ascii="Times New Roman" w:hAnsi="Times New Roman" w:eastAsia="宋体"/>
      <w:i/>
      <w:iCs/>
      <w:color w:val="0F4761" w:themeColor="accent1" w:themeShade="BF"/>
      <w:sz w:val="24"/>
    </w:rPr>
  </w:style>
  <w:style w:type="character" w:customStyle="1" w:styleId="36">
    <w:name w:val="Intense Reference"/>
    <w:basedOn w:val="18"/>
    <w:qFormat/>
    <w:uiPriority w:val="32"/>
    <w:rPr>
      <w:b/>
      <w:bCs/>
      <w:smallCaps/>
      <w:color w:val="0F4761" w:themeColor="accent1" w:themeShade="BF"/>
      <w:spacing w:val="5"/>
    </w:rPr>
  </w:style>
  <w:style w:type="character" w:customStyle="1" w:styleId="37">
    <w:name w:val="页眉 字符"/>
    <w:basedOn w:val="18"/>
    <w:link w:val="13"/>
    <w:qFormat/>
    <w:uiPriority w:val="99"/>
    <w:rPr>
      <w:rFonts w:ascii="Times New Roman" w:hAnsi="Times New Roman" w:eastAsia="宋体"/>
      <w:sz w:val="18"/>
      <w:szCs w:val="18"/>
    </w:rPr>
  </w:style>
  <w:style w:type="character" w:customStyle="1" w:styleId="38">
    <w:name w:val="页脚 字符"/>
    <w:basedOn w:val="18"/>
    <w:link w:val="12"/>
    <w:qFormat/>
    <w:uiPriority w:val="99"/>
    <w:rPr>
      <w:rFonts w:ascii="Times New Roman" w:hAnsi="Times New Roman" w:eastAsia="宋体"/>
      <w:sz w:val="18"/>
      <w:szCs w:val="18"/>
    </w:rPr>
  </w:style>
  <w:style w:type="character" w:customStyle="1" w:styleId="39">
    <w:name w:val="正文文本 字符"/>
    <w:basedOn w:val="18"/>
    <w:link w:val="2"/>
    <w:qFormat/>
    <w:uiPriority w:val="0"/>
    <w:rPr>
      <w:szCs w:val="24"/>
      <w14:ligatures w14: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1336</Words>
  <Characters>1381</Characters>
  <Lines>10</Lines>
  <Paragraphs>2</Paragraphs>
  <TotalTime>1</TotalTime>
  <ScaleCrop>false</ScaleCrop>
  <LinksUpToDate>false</LinksUpToDate>
  <CharactersWithSpaces>1383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2025-07-15T04:38:00Z</dcterms:created>
  <dc:creator>天荣 孙</dc:creator>
  <cp:lastModifiedBy>王鹏</cp:lastModifiedBy>
  <dcterms:modified xsi:type="dcterms:W3CDTF">2026-07-30T01:16:46Z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eyJoZGlkIjoiN2ZjOGE3YWIwOGFhYmI5OWZhOWM1MDRkZTdiYTJmNWMiLCJ1c2VySWQiOiIxNjU3MTAwNzU2In0=</vt:lpwstr>
  </property>
  <property fmtid="{D5CDD505-2E9C-101B-9397-08002B2CF9AE}" pid="3" name="KSOProductBuildVer">
    <vt:lpwstr>2052-12.1.0.26895</vt:lpwstr>
  </property>
  <property fmtid="{D5CDD505-2E9C-101B-9397-08002B2CF9AE}" pid="4" name="ICV">
    <vt:lpwstr>E991E536E60C4353B6C01E794547CF76_12</vt:lpwstr>
  </property>
</Properties>
</file>