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54A0F4">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0"/>
        <w:rPr>
          <w:rFonts w:hint="eastAsia" w:ascii="宋体" w:hAnsi="宋体" w:eastAsia="宋体" w:cs="宋体"/>
          <w:color w:val="auto"/>
          <w:sz w:val="28"/>
          <w:szCs w:val="36"/>
          <w:highlight w:val="none"/>
          <w:lang w:eastAsia="zh-CN"/>
        </w:rPr>
      </w:pPr>
      <w:bookmarkStart w:id="0" w:name="_Toc27217"/>
      <w:r>
        <w:rPr>
          <w:rFonts w:hint="eastAsia" w:ascii="宋体" w:hAnsi="宋体" w:eastAsia="宋体" w:cs="宋体"/>
          <w:b/>
          <w:color w:val="auto"/>
          <w:sz w:val="36"/>
          <w:szCs w:val="36"/>
          <w:highlight w:val="none"/>
        </w:rPr>
        <w:t>技术服务</w:t>
      </w:r>
      <w:r>
        <w:rPr>
          <w:rFonts w:hint="eastAsia" w:ascii="宋体" w:hAnsi="宋体" w:eastAsia="宋体" w:cs="宋体"/>
          <w:b/>
          <w:color w:val="auto"/>
          <w:sz w:val="36"/>
          <w:szCs w:val="36"/>
          <w:highlight w:val="none"/>
          <w:lang w:eastAsia="zh-CN"/>
        </w:rPr>
        <w:t>、</w:t>
      </w:r>
      <w:r>
        <w:rPr>
          <w:rFonts w:hint="eastAsia" w:ascii="宋体" w:hAnsi="宋体" w:cs="宋体"/>
          <w:b/>
          <w:color w:val="auto"/>
          <w:sz w:val="36"/>
          <w:szCs w:val="36"/>
          <w:highlight w:val="none"/>
          <w:lang w:eastAsia="zh-CN"/>
        </w:rPr>
        <w:t>其他要求、</w:t>
      </w:r>
      <w:bookmarkStart w:id="26" w:name="_GoBack"/>
      <w:bookmarkEnd w:id="26"/>
      <w:r>
        <w:rPr>
          <w:rFonts w:hint="eastAsia" w:ascii="宋体" w:hAnsi="宋体" w:cs="宋体"/>
          <w:b/>
          <w:color w:val="auto"/>
          <w:sz w:val="36"/>
          <w:szCs w:val="36"/>
          <w:highlight w:val="none"/>
          <w:lang w:eastAsia="zh-CN"/>
        </w:rPr>
        <w:t>商务</w:t>
      </w:r>
      <w:r>
        <w:rPr>
          <w:rFonts w:hint="eastAsia" w:ascii="宋体" w:hAnsi="宋体" w:eastAsia="宋体" w:cs="宋体"/>
          <w:b/>
          <w:color w:val="auto"/>
          <w:sz w:val="36"/>
          <w:szCs w:val="36"/>
          <w:highlight w:val="none"/>
        </w:rPr>
        <w:t>要求</w:t>
      </w:r>
      <w:bookmarkEnd w:id="0"/>
      <w:r>
        <w:rPr>
          <w:rFonts w:hint="eastAsia" w:ascii="宋体" w:hAnsi="宋体" w:cs="宋体"/>
          <w:b/>
          <w:color w:val="auto"/>
          <w:sz w:val="36"/>
          <w:szCs w:val="36"/>
          <w:highlight w:val="none"/>
          <w:lang w:eastAsia="zh-CN"/>
        </w:rPr>
        <w:t>及评分</w:t>
      </w:r>
    </w:p>
    <w:p w14:paraId="257F39AF">
      <w:pPr>
        <w:pStyle w:val="8"/>
        <w:keepNext w:val="0"/>
        <w:keepLines w:val="0"/>
        <w:pageBreakBefore w:val="0"/>
        <w:widowControl/>
        <w:kinsoku/>
        <w:wordWrap/>
        <w:overflowPunct/>
        <w:topLinePunct w:val="0"/>
        <w:autoSpaceDE/>
        <w:autoSpaceDN/>
        <w:bidi w:val="0"/>
        <w:adjustRightInd/>
        <w:snapToGrid/>
        <w:spacing w:before="313" w:beforeLines="100" w:after="313" w:afterLines="100" w:line="360" w:lineRule="auto"/>
        <w:ind w:firstLine="488"/>
        <w:textAlignment w:val="auto"/>
        <w:rPr>
          <w:rFonts w:hint="default" w:ascii="宋体" w:hAnsi="宋体" w:eastAsia="宋体" w:cs="Times New Roman"/>
          <w:b/>
          <w:bCs/>
          <w:color w:val="auto"/>
          <w:sz w:val="24"/>
          <w:szCs w:val="24"/>
        </w:rPr>
      </w:pPr>
      <w:bookmarkStart w:id="1" w:name="_Toc7560"/>
      <w:bookmarkStart w:id="2" w:name="_Toc19391"/>
      <w:bookmarkStart w:id="3" w:name="_Toc28314"/>
      <w:bookmarkStart w:id="4" w:name="_Toc10505"/>
      <w:bookmarkStart w:id="5" w:name="_Toc2716"/>
      <w:bookmarkStart w:id="6" w:name="_Toc32159"/>
      <w:bookmarkStart w:id="7" w:name="_Toc17122"/>
      <w:bookmarkStart w:id="8" w:name="_Toc9555"/>
      <w:r>
        <w:rPr>
          <w:rFonts w:hint="eastAsia" w:ascii="宋体" w:hAnsi="宋体" w:eastAsia="宋体" w:cs="Times New Roman"/>
          <w:b/>
          <w:bCs/>
          <w:color w:val="auto"/>
          <w:sz w:val="24"/>
          <w:szCs w:val="24"/>
          <w:lang w:val="en-US" w:eastAsia="zh-CN"/>
        </w:rPr>
        <w:t>一、</w:t>
      </w:r>
      <w:r>
        <w:rPr>
          <w:rFonts w:hint="default" w:ascii="宋体" w:hAnsi="宋体" w:eastAsia="宋体" w:cs="Times New Roman"/>
          <w:b/>
          <w:bCs/>
          <w:color w:val="auto"/>
          <w:sz w:val="24"/>
          <w:szCs w:val="24"/>
        </w:rPr>
        <w:t>项目概况</w:t>
      </w:r>
    </w:p>
    <w:p w14:paraId="03C41CC4">
      <w:pPr>
        <w:pStyle w:val="8"/>
        <w:spacing w:line="360" w:lineRule="auto"/>
        <w:ind w:firstLine="486"/>
        <w:rPr>
          <w:rFonts w:hint="eastAsia" w:ascii="宋体" w:hAnsi="宋体"/>
          <w:color w:val="auto"/>
          <w:sz w:val="24"/>
          <w:szCs w:val="24"/>
          <w:lang w:val="en-US" w:eastAsia="zh-CN"/>
        </w:rPr>
      </w:pPr>
      <w:r>
        <w:rPr>
          <w:rFonts w:hint="default" w:ascii="宋体" w:hAnsi="宋体" w:eastAsia="宋体"/>
          <w:color w:val="auto"/>
          <w:sz w:val="24"/>
          <w:szCs w:val="24"/>
          <w:lang w:val="en-US" w:eastAsia="zh-CN"/>
        </w:rPr>
        <w:t>隆昌市中医医院</w:t>
      </w:r>
      <w:r>
        <w:rPr>
          <w:rFonts w:hint="eastAsia" w:ascii="宋体" w:hAnsi="宋体"/>
          <w:color w:val="auto"/>
          <w:sz w:val="24"/>
          <w:szCs w:val="24"/>
          <w:lang w:val="en-US" w:eastAsia="zh-CN"/>
        </w:rPr>
        <w:t>拟采购一套</w:t>
      </w:r>
      <w:r>
        <w:rPr>
          <w:rFonts w:hint="default" w:ascii="宋体" w:hAnsi="宋体" w:eastAsia="宋体"/>
          <w:color w:val="auto"/>
          <w:sz w:val="24"/>
          <w:szCs w:val="24"/>
          <w:lang w:val="en-US" w:eastAsia="zh-CN"/>
        </w:rPr>
        <w:t>急诊</w:t>
      </w:r>
      <w:r>
        <w:rPr>
          <w:rFonts w:hint="eastAsia" w:ascii="宋体" w:hAnsi="宋体"/>
          <w:color w:val="auto"/>
          <w:sz w:val="24"/>
          <w:szCs w:val="24"/>
          <w:lang w:val="en-US" w:eastAsia="zh-CN"/>
        </w:rPr>
        <w:t>留观</w:t>
      </w:r>
      <w:r>
        <w:rPr>
          <w:rFonts w:hint="default" w:ascii="宋体" w:hAnsi="宋体" w:eastAsia="宋体"/>
          <w:color w:val="auto"/>
          <w:sz w:val="24"/>
          <w:szCs w:val="24"/>
          <w:lang w:val="en-US" w:eastAsia="zh-CN"/>
        </w:rPr>
        <w:t>信息管理系统</w:t>
      </w:r>
      <w:r>
        <w:rPr>
          <w:rFonts w:hint="eastAsia" w:ascii="宋体" w:hAnsi="宋体"/>
          <w:color w:val="auto"/>
          <w:sz w:val="24"/>
          <w:szCs w:val="24"/>
          <w:lang w:val="en-US" w:eastAsia="zh-CN"/>
        </w:rPr>
        <w:t>。</w:t>
      </w:r>
    </w:p>
    <w:p w14:paraId="3F0C00A0">
      <w:pPr>
        <w:pStyle w:val="8"/>
        <w:keepNext w:val="0"/>
        <w:keepLines w:val="0"/>
        <w:pageBreakBefore w:val="0"/>
        <w:widowControl/>
        <w:kinsoku/>
        <w:wordWrap/>
        <w:overflowPunct/>
        <w:topLinePunct w:val="0"/>
        <w:autoSpaceDE/>
        <w:autoSpaceDN/>
        <w:bidi w:val="0"/>
        <w:adjustRightInd/>
        <w:snapToGrid/>
        <w:spacing w:before="313" w:beforeLines="100" w:after="313" w:afterLines="100" w:line="360" w:lineRule="auto"/>
        <w:ind w:firstLine="488"/>
        <w:textAlignment w:val="auto"/>
        <w:rPr>
          <w:rFonts w:hint="eastAsia" w:ascii="宋体" w:hAnsi="宋体" w:eastAsia="宋体"/>
          <w:sz w:val="28"/>
          <w:szCs w:val="28"/>
        </w:rPr>
      </w:pPr>
      <w:r>
        <w:rPr>
          <w:rFonts w:hint="eastAsia" w:ascii="宋体" w:hAnsi="宋体" w:eastAsia="宋体" w:cs="Times New Roman"/>
          <w:b/>
          <w:bCs/>
          <w:color w:val="auto"/>
          <w:sz w:val="24"/>
          <w:szCs w:val="24"/>
          <w:lang w:val="en-US" w:eastAsia="zh-CN"/>
        </w:rPr>
        <w:t>二、</w:t>
      </w:r>
      <w:bookmarkStart w:id="9" w:name="_Toc88823125"/>
      <w:bookmarkStart w:id="10" w:name="_Toc31673"/>
      <w:bookmarkStart w:id="11" w:name="_Toc26"/>
      <w:r>
        <w:rPr>
          <w:rFonts w:hint="eastAsia" w:ascii="宋体" w:hAnsi="宋体" w:eastAsia="宋体" w:cs="Times New Roman"/>
          <w:b/>
          <w:bCs/>
          <w:color w:val="auto"/>
          <w:sz w:val="24"/>
          <w:szCs w:val="24"/>
        </w:rPr>
        <w:t>技术服务要求</w:t>
      </w:r>
      <w:bookmarkEnd w:id="9"/>
      <w:bookmarkEnd w:id="10"/>
      <w:bookmarkEnd w:id="11"/>
    </w:p>
    <w:tbl>
      <w:tblPr>
        <w:tblStyle w:val="6"/>
        <w:tblW w:w="5000" w:type="pct"/>
        <w:tblInd w:w="0" w:type="dxa"/>
        <w:tblLayout w:type="autofit"/>
        <w:tblCellMar>
          <w:top w:w="0" w:type="dxa"/>
          <w:left w:w="108" w:type="dxa"/>
          <w:bottom w:w="0" w:type="dxa"/>
          <w:right w:w="108" w:type="dxa"/>
        </w:tblCellMar>
      </w:tblPr>
      <w:tblGrid>
        <w:gridCol w:w="804"/>
        <w:gridCol w:w="974"/>
        <w:gridCol w:w="6744"/>
      </w:tblGrid>
      <w:tr w14:paraId="4FFA6D9C">
        <w:tblPrEx>
          <w:tblCellMar>
            <w:top w:w="0" w:type="dxa"/>
            <w:left w:w="108" w:type="dxa"/>
            <w:bottom w:w="0" w:type="dxa"/>
            <w:right w:w="108" w:type="dxa"/>
          </w:tblCellMar>
        </w:tblPrEx>
        <w:trPr>
          <w:trHeight w:val="379" w:hRule="atLeast"/>
        </w:trPr>
        <w:tc>
          <w:tcPr>
            <w:tcW w:w="359" w:type="pct"/>
            <w:vMerge w:val="restart"/>
            <w:tcBorders>
              <w:top w:val="nil"/>
              <w:left w:val="single" w:color="auto" w:sz="4" w:space="0"/>
              <w:bottom w:val="single" w:color="auto" w:sz="4" w:space="0"/>
              <w:right w:val="single" w:color="auto" w:sz="4" w:space="0"/>
            </w:tcBorders>
            <w:vAlign w:val="center"/>
          </w:tcPr>
          <w:p w14:paraId="532C10DB">
            <w:pPr>
              <w:jc w:val="center"/>
              <w:rPr>
                <w:rFonts w:hint="eastAsia" w:ascii="宋体" w:hAnsi="宋体" w:eastAsia="宋体" w:cs="宋体"/>
                <w:color w:val="auto"/>
                <w:sz w:val="22"/>
              </w:rPr>
            </w:pPr>
            <w:r>
              <w:rPr>
                <w:rFonts w:hint="eastAsia" w:ascii="宋体" w:hAnsi="宋体" w:eastAsia="宋体" w:cs="宋体"/>
                <w:color w:val="auto"/>
                <w:sz w:val="22"/>
              </w:rPr>
              <w:t>急诊留观医护工作站</w:t>
            </w:r>
          </w:p>
        </w:tc>
        <w:tc>
          <w:tcPr>
            <w:tcW w:w="435" w:type="pct"/>
            <w:tcBorders>
              <w:top w:val="nil"/>
              <w:left w:val="nil"/>
              <w:bottom w:val="single" w:color="auto" w:sz="4" w:space="0"/>
              <w:right w:val="single" w:color="auto" w:sz="4" w:space="0"/>
            </w:tcBorders>
            <w:vAlign w:val="center"/>
          </w:tcPr>
          <w:p w14:paraId="5C8F8D74">
            <w:pPr>
              <w:jc w:val="center"/>
              <w:rPr>
                <w:rFonts w:hint="eastAsia" w:ascii="宋体" w:hAnsi="宋体" w:eastAsia="宋体" w:cs="宋体"/>
                <w:color w:val="auto"/>
                <w:sz w:val="22"/>
              </w:rPr>
            </w:pPr>
            <w:r>
              <w:rPr>
                <w:rFonts w:hint="eastAsia" w:ascii="宋体" w:hAnsi="宋体" w:eastAsia="宋体" w:cs="宋体"/>
                <w:color w:val="auto"/>
                <w:sz w:val="22"/>
              </w:rPr>
              <w:t>患者管理</w:t>
            </w:r>
          </w:p>
        </w:tc>
        <w:tc>
          <w:tcPr>
            <w:tcW w:w="3012" w:type="pct"/>
            <w:tcBorders>
              <w:top w:val="nil"/>
              <w:left w:val="nil"/>
              <w:bottom w:val="single" w:color="auto" w:sz="4" w:space="0"/>
              <w:right w:val="single" w:color="auto" w:sz="4" w:space="0"/>
            </w:tcBorders>
            <w:vAlign w:val="center"/>
          </w:tcPr>
          <w:p w14:paraId="2F1DA296">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提供卡片模式查询在床患者信息，提供列表模式查询已转归患者信息。</w:t>
            </w:r>
          </w:p>
          <w:p w14:paraId="52D823C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支持患者入观、出观、转归，可进行床位分配及相关信息录入。</w:t>
            </w:r>
          </w:p>
          <w:p w14:paraId="3BE0E0C9">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支持护士通过床位来切换患者信息，患者信息提供患者滞留时间提醒，并支持手动修改患者信息。</w:t>
            </w:r>
          </w:p>
          <w:p w14:paraId="0E91DC49">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支持按患者入观时间及特殊标记进行筛选。</w:t>
            </w:r>
          </w:p>
          <w:p w14:paraId="331E6FB2">
            <w:pPr>
              <w:numPr>
                <w:ilvl w:val="0"/>
                <w:numId w:val="1"/>
              </w:numPr>
              <w:ind w:left="425" w:leftChars="0" w:hanging="425" w:firstLineChars="0"/>
              <w:rPr>
                <w:rFonts w:hint="default" w:ascii="宋体" w:hAnsi="宋体" w:eastAsia="宋体" w:cs="宋体"/>
                <w:color w:val="auto"/>
                <w:sz w:val="22"/>
                <w:lang w:val="en-US" w:eastAsia="zh-CN"/>
              </w:rPr>
            </w:pPr>
            <w:r>
              <w:rPr>
                <w:rFonts w:hint="eastAsia" w:ascii="宋体" w:hAnsi="宋体" w:eastAsia="宋体" w:cs="宋体"/>
                <w:color w:val="auto"/>
                <w:sz w:val="22"/>
                <w:lang w:eastAsia="zh-CN"/>
              </w:rPr>
              <w:t>支持进行换床、绑定设备、打印腕带操作。</w:t>
            </w:r>
          </w:p>
          <w:p w14:paraId="6F1526AA">
            <w:pPr>
              <w:numPr>
                <w:ilvl w:val="0"/>
                <w:numId w:val="1"/>
              </w:numPr>
              <w:ind w:left="425" w:leftChars="0" w:hanging="425" w:firstLineChars="0"/>
              <w:rPr>
                <w:rFonts w:hint="default" w:ascii="宋体" w:hAnsi="宋体" w:eastAsia="宋体" w:cs="宋体"/>
                <w:color w:val="auto"/>
                <w:sz w:val="22"/>
                <w:lang w:val="en-US" w:eastAsia="zh-CN"/>
              </w:rPr>
            </w:pPr>
            <w:r>
              <w:rPr>
                <w:rFonts w:hint="eastAsia" w:ascii="微软雅黑" w:hAnsi="微软雅黑" w:eastAsia="微软雅黑" w:cs="微软雅黑"/>
                <w:color w:val="auto"/>
                <w:sz w:val="22"/>
                <w:lang w:val="en-US" w:eastAsia="zh-CN"/>
              </w:rPr>
              <w:t>▲</w:t>
            </w:r>
            <w:r>
              <w:rPr>
                <w:rFonts w:hint="eastAsia" w:ascii="宋体" w:hAnsi="宋体" w:eastAsia="宋体" w:cs="宋体"/>
                <w:color w:val="auto"/>
                <w:sz w:val="22"/>
                <w:lang w:val="en-US" w:eastAsia="zh-CN"/>
              </w:rPr>
              <w:t>支持从HIS系统快</w:t>
            </w:r>
            <w:r>
              <w:rPr>
                <w:rFonts w:hint="eastAsia" w:ascii="宋体" w:hAnsi="宋体" w:eastAsia="宋体" w:cs="宋体"/>
                <w:color w:val="auto"/>
                <w:sz w:val="22"/>
                <w:highlight w:val="none"/>
                <w:lang w:val="en-US" w:eastAsia="zh-CN"/>
              </w:rPr>
              <w:t>速入观，一键带入门诊开的医嘱和患者进行留观。</w:t>
            </w:r>
          </w:p>
        </w:tc>
      </w:tr>
      <w:tr w14:paraId="0C9FDA6F">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554BD575">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5948D6E6">
            <w:pPr>
              <w:jc w:val="center"/>
              <w:rPr>
                <w:rFonts w:hint="eastAsia" w:ascii="宋体" w:hAnsi="宋体" w:eastAsia="宋体" w:cs="宋体"/>
                <w:color w:val="auto"/>
                <w:sz w:val="22"/>
              </w:rPr>
            </w:pPr>
            <w:r>
              <w:rPr>
                <w:rFonts w:hint="eastAsia" w:ascii="宋体" w:hAnsi="宋体" w:eastAsia="宋体" w:cs="宋体"/>
                <w:color w:val="auto"/>
                <w:sz w:val="22"/>
              </w:rPr>
              <w:t>模板管理</w:t>
            </w:r>
          </w:p>
        </w:tc>
        <w:tc>
          <w:tcPr>
            <w:tcW w:w="3012" w:type="pct"/>
            <w:tcBorders>
              <w:top w:val="nil"/>
              <w:left w:val="nil"/>
              <w:bottom w:val="single" w:color="auto" w:sz="4" w:space="0"/>
              <w:right w:val="single" w:color="auto" w:sz="4" w:space="0"/>
            </w:tcBorders>
            <w:vAlign w:val="center"/>
          </w:tcPr>
          <w:p w14:paraId="7FEB5EA9">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可根据权限的不同查询到不同的模板，根据使用范围模板分为全局模板、全院模板、科室模板、个人模板。</w:t>
            </w:r>
          </w:p>
          <w:p w14:paraId="5B966B0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模板新增：可新增病历模板，指定模板分类和使用范围。</w:t>
            </w:r>
          </w:p>
          <w:p w14:paraId="39764A9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模板支持具有最小结构化元素，满足文本、数值、复选、单选、多选、日期结构化录入需求。</w:t>
            </w:r>
          </w:p>
          <w:p w14:paraId="26A28ABB">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提供常用的结构化元素库，支持结构化录入与自由化录入相结合。</w:t>
            </w:r>
          </w:p>
          <w:p w14:paraId="5A6916E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支持文档编辑，字符、段落属性设置，页面版式设置，页眉页脚设置，支持特殊符号，支持图文混合性输入，支持矢量绘图和表格。</w:t>
            </w:r>
          </w:p>
        </w:tc>
      </w:tr>
      <w:tr w14:paraId="1B858428">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6B8B913D">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644FC4D9">
            <w:pPr>
              <w:jc w:val="center"/>
              <w:rPr>
                <w:rFonts w:hint="eastAsia" w:ascii="宋体" w:hAnsi="宋体" w:eastAsia="宋体" w:cs="宋体"/>
                <w:color w:val="auto"/>
                <w:sz w:val="22"/>
              </w:rPr>
            </w:pPr>
            <w:r>
              <w:rPr>
                <w:rFonts w:hint="eastAsia" w:ascii="宋体" w:hAnsi="宋体" w:eastAsia="宋体" w:cs="宋体"/>
                <w:color w:val="auto"/>
                <w:sz w:val="22"/>
              </w:rPr>
              <w:t>病历安全</w:t>
            </w:r>
          </w:p>
        </w:tc>
        <w:tc>
          <w:tcPr>
            <w:tcW w:w="3012" w:type="pct"/>
            <w:tcBorders>
              <w:top w:val="nil"/>
              <w:left w:val="nil"/>
              <w:bottom w:val="single" w:color="auto" w:sz="4" w:space="0"/>
              <w:right w:val="single" w:color="auto" w:sz="4" w:space="0"/>
            </w:tcBorders>
            <w:vAlign w:val="center"/>
          </w:tcPr>
          <w:p w14:paraId="58F51B9B">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具有病人隐私保护手段，对模板病历中表示患者隐私信息的可设置成“加密显示”。</w:t>
            </w:r>
          </w:p>
          <w:p w14:paraId="633FA40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备模板授权功能，使用范围为科室或个人的模板，需要授权到科室或个人后才能使用，需要授权的模板在新建的时候自动授权给创建科室或创建人，其他科室或个人如想使用该模板，需要将模板授权给对应的科室或个人。</w:t>
            </w:r>
          </w:p>
        </w:tc>
      </w:tr>
      <w:tr w14:paraId="6881B088">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6C2BA88D">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61EE2800">
            <w:pPr>
              <w:jc w:val="center"/>
              <w:rPr>
                <w:rFonts w:hint="eastAsia" w:ascii="宋体" w:hAnsi="宋体" w:eastAsia="宋体" w:cs="宋体"/>
                <w:color w:val="auto"/>
                <w:sz w:val="22"/>
              </w:rPr>
            </w:pPr>
            <w:r>
              <w:rPr>
                <w:rFonts w:hint="eastAsia" w:ascii="宋体" w:hAnsi="宋体" w:eastAsia="宋体" w:cs="宋体"/>
                <w:color w:val="auto"/>
                <w:sz w:val="22"/>
              </w:rPr>
              <w:t>病历录入</w:t>
            </w:r>
          </w:p>
        </w:tc>
        <w:tc>
          <w:tcPr>
            <w:tcW w:w="3012" w:type="pct"/>
            <w:tcBorders>
              <w:top w:val="nil"/>
              <w:left w:val="nil"/>
              <w:bottom w:val="single" w:color="auto" w:sz="4" w:space="0"/>
              <w:right w:val="single" w:color="auto" w:sz="4" w:space="0"/>
            </w:tcBorders>
            <w:vAlign w:val="center"/>
          </w:tcPr>
          <w:p w14:paraId="1F24967B">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新增病历：通过选择病历模板新增病历，也可通过既往病历新增病历，支持门诊病历、急诊留观病历病历文书建立并书写。</w:t>
            </w:r>
          </w:p>
          <w:p w14:paraId="199E417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书写病历：使用专用的电子病历编辑器，结构化录入与自由化录入相结合，支持所见即所得。</w:t>
            </w:r>
          </w:p>
          <w:p w14:paraId="5A7EF57B">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暂存与提交：支持暂存和提交两种保存方式，暂存表示病历尚未书写完成，提交表示病历已书写完成，提交后再修改病历会保留修改痕迹。</w:t>
            </w:r>
          </w:p>
          <w:p w14:paraId="4575F13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复制/粘贴选择性控制：通过参数控制不同病人的病历内容是否可以互相复制粘贴。</w:t>
            </w:r>
          </w:p>
          <w:p w14:paraId="49AF5EE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导入检查检验：提供电子病历系统与检验、检查、心电、医嘱系统接口，对接后支持检验、检查结果、心电结果、会诊结论、医嘱、诊断、体征信息插入到病历当中的任意位置；检验、检查结果导入之前支持预览。</w:t>
            </w:r>
          </w:p>
          <w:p w14:paraId="6B3ED40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录入诊断：支持中西医诊断录入，西医采用icd标准诊断，诊断可添加前后缀；支持保存常用诊断，从常用诊断中选择诊断功能。</w:t>
            </w:r>
          </w:p>
          <w:p w14:paraId="7029519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插入音视频、图片：支持在病历书写过程中在线录制语音、视频，并可进行播放以及插入病历中，同时支持插入图片，图文混合性输入，支持矢量绘图编辑功能。</w:t>
            </w:r>
          </w:p>
          <w:p w14:paraId="6A23766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修改痕迹：支持三级医师的修改痕迹管理功能，病历提交后所有的修改痕迹都会保留下来，包括修改方式、修改内容、修改人姓名及工号、修改时间，可通过菜单选择是否显示修改痕迹。</w:t>
            </w:r>
          </w:p>
          <w:p w14:paraId="459AEBE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病历打印：支持病历预览、续打、合并打印、选择区域打印。</w:t>
            </w:r>
          </w:p>
          <w:p w14:paraId="5F8F5DE5">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查看质控结果：支持查看病历的质控结果，提醒和方便医生书写病历。</w:t>
            </w:r>
          </w:p>
          <w:p w14:paraId="08816EBB">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保存多种格式：支持将病历保存为pdf、html、xml格式，可通过编辑器或相应的工具打开病历。</w:t>
            </w:r>
          </w:p>
        </w:tc>
      </w:tr>
      <w:tr w14:paraId="7CD460F4">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525E3EE0">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049EFFAE">
            <w:pPr>
              <w:jc w:val="center"/>
              <w:rPr>
                <w:rFonts w:hint="eastAsia" w:ascii="宋体" w:hAnsi="宋体" w:eastAsia="宋体" w:cs="宋体"/>
                <w:color w:val="auto"/>
                <w:sz w:val="22"/>
              </w:rPr>
            </w:pPr>
            <w:r>
              <w:rPr>
                <w:rFonts w:hint="eastAsia" w:ascii="宋体" w:hAnsi="宋体" w:eastAsia="宋体" w:cs="宋体"/>
                <w:color w:val="auto"/>
                <w:sz w:val="22"/>
              </w:rPr>
              <w:t>书写助手</w:t>
            </w:r>
          </w:p>
        </w:tc>
        <w:tc>
          <w:tcPr>
            <w:tcW w:w="3012" w:type="pct"/>
            <w:tcBorders>
              <w:top w:val="nil"/>
              <w:left w:val="nil"/>
              <w:bottom w:val="single" w:color="auto" w:sz="4" w:space="0"/>
              <w:right w:val="single" w:color="auto" w:sz="4" w:space="0"/>
            </w:tcBorders>
            <w:vAlign w:val="center"/>
          </w:tcPr>
          <w:p w14:paraId="6659A3E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支持医学表达式、特殊符号：支持特定医学表达式录入，如：龋齿、月经史、牙科、眼科专用医学专用公式，同时支持常用的特殊符号，符号支持自定义。</w:t>
            </w:r>
          </w:p>
          <w:p w14:paraId="25CD6AC5">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病历内容自动引用：病历新增时通过引用数据源自动带出病人已有的数据，如姓名、门诊号基础信息，同时也可带出其他病历中已有的数据，如将入院记录中的主诉自动带入到首次病程记录中。</w:t>
            </w:r>
          </w:p>
          <w:p w14:paraId="62719719">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词条管理：支持医生自行维护管理词条、导入医学词条，实现病历辅助、快速书写。</w:t>
            </w:r>
          </w:p>
          <w:p w14:paraId="6462D2F0">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病历存为模板、疾病组：支持将当前病历存为模板，一般可存为科室模板和个人模板；同时支持将患者病历存为疾病组。</w:t>
            </w:r>
          </w:p>
          <w:p w14:paraId="62C363B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支持病历续页，留观记录、查房记录、各类医疗文书的书写。</w:t>
            </w:r>
          </w:p>
        </w:tc>
      </w:tr>
      <w:tr w14:paraId="21D66E31">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7A9860CE">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42C6BBE4">
            <w:pPr>
              <w:jc w:val="center"/>
              <w:rPr>
                <w:rFonts w:hint="eastAsia" w:ascii="宋体" w:hAnsi="宋体" w:eastAsia="宋体" w:cs="宋体"/>
                <w:color w:val="auto"/>
                <w:sz w:val="22"/>
              </w:rPr>
            </w:pPr>
            <w:r>
              <w:rPr>
                <w:rFonts w:hint="eastAsia" w:ascii="宋体" w:hAnsi="宋体" w:eastAsia="宋体" w:cs="宋体"/>
                <w:color w:val="auto"/>
                <w:sz w:val="22"/>
              </w:rPr>
              <w:t>医嘱管理</w:t>
            </w:r>
          </w:p>
        </w:tc>
        <w:tc>
          <w:tcPr>
            <w:tcW w:w="3012" w:type="pct"/>
            <w:tcBorders>
              <w:top w:val="nil"/>
              <w:left w:val="nil"/>
              <w:bottom w:val="single" w:color="auto" w:sz="4" w:space="0"/>
              <w:right w:val="single" w:color="auto" w:sz="4" w:space="0"/>
            </w:tcBorders>
            <w:vAlign w:val="center"/>
          </w:tcPr>
          <w:p w14:paraId="6563714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具备留观区医嘱开具的功能，包括处方、处置、检验、检查。</w:t>
            </w:r>
            <w:r>
              <w:rPr>
                <w:rFonts w:hint="eastAsia" w:ascii="宋体" w:hAnsi="宋体" w:eastAsia="宋体" w:cs="宋体"/>
                <w:color w:val="auto"/>
                <w:sz w:val="22"/>
                <w:lang w:val="en-US" w:eastAsia="zh-CN"/>
              </w:rPr>
              <w:t>并同步到HIS系统。</w:t>
            </w:r>
          </w:p>
          <w:p w14:paraId="72904A98">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支持显示患者留观时长。</w:t>
            </w:r>
          </w:p>
          <w:p w14:paraId="1603796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支持选择处方类型，包括急诊处方和普通处方。</w:t>
            </w:r>
          </w:p>
          <w:p w14:paraId="645E6E40">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支持对患者过敏史进行管理，包括新增过敏史与删除过敏史，过敏信息包含患者过敏原、过敏症状、过敏药物、过敏病情状态、过敏严重程度。</w:t>
            </w:r>
          </w:p>
          <w:p w14:paraId="0A6CC4D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支持查阅患者历史医嘱，可以选择相关医嘱进行引用为本次就诊医嘱。</w:t>
            </w:r>
          </w:p>
          <w:p w14:paraId="0B6B5E35">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支持查阅患者历史病历文书资料、历史医疗文书、历史检查报告、历史检验报告、历史病理报告相关信息。</w:t>
            </w:r>
          </w:p>
          <w:p w14:paraId="773607C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支持对已就诊患者进行补打入院证、补打非缴费凭证。</w:t>
            </w:r>
          </w:p>
          <w:p w14:paraId="0EE7BFC7">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支持对患者诊断信息进行管理，能够新增、删除相关诊断。</w:t>
            </w:r>
          </w:p>
          <w:p w14:paraId="2DAFFF1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能够查阅历史诊断并引用历史诊断信息。</w:t>
            </w:r>
          </w:p>
          <w:p w14:paraId="04014D1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支持将诊断添加为个人常用诊断，可以在常用诊断里面选择诊断。</w:t>
            </w:r>
          </w:p>
          <w:p w14:paraId="66F7772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支持西医、中医诊断的开立。支持对诊断名称进行补充。支持诊断次序的调整。支持主要诊断和次要诊断的添加。支持调用三方合理用药接口。</w:t>
            </w:r>
          </w:p>
          <w:p w14:paraId="111686E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支持下达医嘱时拼音首写字母以及汉字快速检索功能。提供综合申请下达界面，支持模板维护，达到快速下达检查、检验、用血、手术、会诊相关申请单。</w:t>
            </w:r>
          </w:p>
          <w:p w14:paraId="5D22F9CF">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具备传染病报卡功能。</w:t>
            </w:r>
          </w:p>
        </w:tc>
      </w:tr>
      <w:tr w14:paraId="7BA48CA3">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3A4E082C">
            <w:pPr>
              <w:rPr>
                <w:rFonts w:hint="eastAsia" w:ascii="宋体" w:hAnsi="宋体" w:eastAsia="宋体" w:cs="宋体"/>
                <w:color w:val="auto"/>
                <w:sz w:val="22"/>
              </w:rPr>
            </w:pPr>
          </w:p>
        </w:tc>
        <w:tc>
          <w:tcPr>
            <w:tcW w:w="435" w:type="pct"/>
            <w:tcBorders>
              <w:top w:val="nil"/>
              <w:left w:val="nil"/>
              <w:bottom w:val="single" w:color="auto" w:sz="4" w:space="0"/>
              <w:right w:val="single" w:color="auto" w:sz="4" w:space="0"/>
            </w:tcBorders>
            <w:vAlign w:val="center"/>
          </w:tcPr>
          <w:p w14:paraId="5E9C4691">
            <w:pPr>
              <w:jc w:val="center"/>
              <w:rPr>
                <w:rFonts w:hint="eastAsia" w:ascii="宋体" w:hAnsi="宋体" w:eastAsia="宋体" w:cs="宋体"/>
                <w:color w:val="auto"/>
                <w:sz w:val="22"/>
              </w:rPr>
            </w:pPr>
            <w:r>
              <w:rPr>
                <w:rFonts w:hint="eastAsia" w:ascii="宋体" w:hAnsi="宋体" w:eastAsia="宋体" w:cs="宋体"/>
                <w:color w:val="auto"/>
                <w:sz w:val="22"/>
              </w:rPr>
              <w:t>评估评分</w:t>
            </w:r>
          </w:p>
        </w:tc>
        <w:tc>
          <w:tcPr>
            <w:tcW w:w="3012" w:type="pct"/>
            <w:tcBorders>
              <w:top w:val="nil"/>
              <w:left w:val="nil"/>
              <w:bottom w:val="single" w:color="auto" w:sz="4" w:space="0"/>
              <w:right w:val="single" w:color="auto" w:sz="4" w:space="0"/>
            </w:tcBorders>
            <w:vAlign w:val="center"/>
          </w:tcPr>
          <w:p w14:paraId="50ED2BC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支持新增评估表单、修改评估表单、删除评估表单。</w:t>
            </w:r>
          </w:p>
          <w:p w14:paraId="7D211E3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支撑MEWS、FAST、ASPECT、NIHSS、GCS、APACHEII评分评估管理功能。能动态显示评分结果变化曲线。支持对评分数据的修正。</w:t>
            </w:r>
          </w:p>
          <w:p w14:paraId="10AF125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评分结果可自动导入至病历、护理记录单中，并支持图片导出和打印。</w:t>
            </w:r>
          </w:p>
          <w:p w14:paraId="676B26C6">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提供护理评估，支持压疮评估、跌倒评估、导管滑落评估护理评估。</w:t>
            </w:r>
          </w:p>
          <w:p w14:paraId="2C4C0690">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提供每项评估表单的使用说明，说明包括评估表单的适用范围与临床应用。支持编辑及打印各类评估单。</w:t>
            </w:r>
          </w:p>
        </w:tc>
      </w:tr>
      <w:tr w14:paraId="1F269FEB">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72B4509C">
            <w:pPr>
              <w:rPr>
                <w:rFonts w:hint="eastAsia" w:ascii="宋体" w:hAnsi="宋体" w:eastAsia="宋体" w:cs="宋体"/>
                <w:color w:val="auto"/>
                <w:sz w:val="22"/>
              </w:rPr>
            </w:pPr>
          </w:p>
        </w:tc>
        <w:tc>
          <w:tcPr>
            <w:tcW w:w="435" w:type="pct"/>
            <w:tcBorders>
              <w:top w:val="nil"/>
              <w:left w:val="nil"/>
              <w:bottom w:val="single" w:color="auto" w:sz="4" w:space="0"/>
              <w:right w:val="single" w:color="auto" w:sz="4" w:space="0"/>
            </w:tcBorders>
            <w:vAlign w:val="center"/>
          </w:tcPr>
          <w:p w14:paraId="0A855335">
            <w:pPr>
              <w:jc w:val="center"/>
              <w:rPr>
                <w:rFonts w:hint="eastAsia" w:ascii="宋体" w:hAnsi="宋体" w:eastAsia="宋体" w:cs="宋体"/>
                <w:color w:val="auto"/>
                <w:sz w:val="22"/>
              </w:rPr>
            </w:pPr>
            <w:r>
              <w:rPr>
                <w:rFonts w:hint="eastAsia" w:ascii="宋体" w:hAnsi="宋体" w:eastAsia="宋体" w:cs="宋体"/>
                <w:color w:val="auto"/>
                <w:sz w:val="22"/>
              </w:rPr>
              <w:t>医疗文书</w:t>
            </w:r>
          </w:p>
        </w:tc>
        <w:tc>
          <w:tcPr>
            <w:tcW w:w="3012" w:type="pct"/>
            <w:tcBorders>
              <w:top w:val="nil"/>
              <w:left w:val="nil"/>
              <w:bottom w:val="single" w:color="auto" w:sz="4" w:space="0"/>
              <w:right w:val="single" w:color="auto" w:sz="4" w:space="0"/>
            </w:tcBorders>
            <w:vAlign w:val="center"/>
          </w:tcPr>
          <w:p w14:paraId="71BE8765">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支持医疗文书的书写及管理。支持新增医疗文书及历史医疗文书的查看和编辑。</w:t>
            </w:r>
          </w:p>
          <w:p w14:paraId="37D5C656">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支持文书模板管理，文书模板可分为全院级与科室级进行管理。支持直接从模版生成医疗文书。</w:t>
            </w:r>
          </w:p>
        </w:tc>
      </w:tr>
      <w:tr w14:paraId="273E13DD">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27D1C992">
            <w:pPr>
              <w:rPr>
                <w:rFonts w:hint="eastAsia" w:ascii="宋体" w:hAnsi="宋体" w:eastAsia="宋体" w:cs="宋体"/>
                <w:color w:val="auto"/>
                <w:sz w:val="22"/>
              </w:rPr>
            </w:pPr>
          </w:p>
        </w:tc>
        <w:tc>
          <w:tcPr>
            <w:tcW w:w="435" w:type="pct"/>
            <w:tcBorders>
              <w:top w:val="nil"/>
              <w:left w:val="nil"/>
              <w:bottom w:val="single" w:color="auto" w:sz="4" w:space="0"/>
              <w:right w:val="single" w:color="auto" w:sz="4" w:space="0"/>
            </w:tcBorders>
            <w:vAlign w:val="center"/>
          </w:tcPr>
          <w:p w14:paraId="362EBFA7">
            <w:pPr>
              <w:jc w:val="center"/>
              <w:rPr>
                <w:rFonts w:hint="eastAsia" w:ascii="宋体" w:hAnsi="宋体" w:eastAsia="宋体" w:cs="宋体"/>
                <w:color w:val="auto"/>
                <w:sz w:val="22"/>
              </w:rPr>
            </w:pPr>
            <w:r>
              <w:rPr>
                <w:rFonts w:hint="eastAsia" w:ascii="宋体" w:hAnsi="宋体" w:eastAsia="宋体" w:cs="宋体"/>
                <w:color w:val="auto"/>
                <w:sz w:val="22"/>
              </w:rPr>
              <w:t>报告查看</w:t>
            </w:r>
          </w:p>
        </w:tc>
        <w:tc>
          <w:tcPr>
            <w:tcW w:w="3012" w:type="pct"/>
            <w:tcBorders>
              <w:top w:val="nil"/>
              <w:left w:val="nil"/>
              <w:bottom w:val="single" w:color="auto" w:sz="4" w:space="0"/>
              <w:right w:val="single" w:color="auto" w:sz="4" w:space="0"/>
            </w:tcBorders>
            <w:vAlign w:val="center"/>
          </w:tcPr>
          <w:p w14:paraId="6609403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具备检验检查报告查看功能。</w:t>
            </w:r>
          </w:p>
          <w:p w14:paraId="3A7B4CC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支持调阅查看检查报告图像。</w:t>
            </w:r>
          </w:p>
        </w:tc>
      </w:tr>
      <w:tr w14:paraId="7CF154C0">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138CD264">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1C6FF649">
            <w:pPr>
              <w:jc w:val="center"/>
              <w:rPr>
                <w:rFonts w:hint="eastAsia" w:ascii="宋体" w:hAnsi="宋体" w:eastAsia="宋体" w:cs="宋体"/>
                <w:color w:val="auto"/>
                <w:sz w:val="22"/>
              </w:rPr>
            </w:pPr>
            <w:r>
              <w:rPr>
                <w:rFonts w:hint="eastAsia" w:ascii="宋体" w:hAnsi="宋体" w:eastAsia="宋体" w:cs="宋体"/>
                <w:color w:val="auto"/>
                <w:sz w:val="22"/>
              </w:rPr>
              <w:t>医嘱核对</w:t>
            </w:r>
          </w:p>
        </w:tc>
        <w:tc>
          <w:tcPr>
            <w:tcW w:w="3012" w:type="pct"/>
            <w:tcBorders>
              <w:top w:val="nil"/>
              <w:left w:val="nil"/>
              <w:bottom w:val="single" w:color="auto" w:sz="4" w:space="0"/>
              <w:right w:val="single" w:color="auto" w:sz="4" w:space="0"/>
            </w:tcBorders>
            <w:vAlign w:val="center"/>
          </w:tcPr>
          <w:p w14:paraId="679BB34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具备护士对医嘱进行核对处理的功能。</w:t>
            </w:r>
          </w:p>
          <w:p w14:paraId="7C06C3C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支持显示未核对记录和已核对记录。支持按照医嘱类型进行快速分类医嘱，类型包括药品、检查、检验、处置、说明、特殊医嘱。</w:t>
            </w:r>
          </w:p>
          <w:p w14:paraId="0E480B97">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支持查询患者医嘱单并进行医嘱单打印。支持记录医嘱的核查时间和核查人信息。支持批量核对功能。</w:t>
            </w:r>
          </w:p>
        </w:tc>
      </w:tr>
      <w:tr w14:paraId="3336EFFF">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514D5318">
            <w:pPr>
              <w:rPr>
                <w:rFonts w:hint="eastAsia" w:ascii="宋体" w:hAnsi="宋体" w:eastAsia="宋体" w:cs="宋体"/>
                <w:color w:val="auto"/>
                <w:sz w:val="22"/>
              </w:rPr>
            </w:pPr>
          </w:p>
        </w:tc>
        <w:tc>
          <w:tcPr>
            <w:tcW w:w="435" w:type="pct"/>
            <w:tcBorders>
              <w:top w:val="nil"/>
              <w:left w:val="nil"/>
              <w:bottom w:val="single" w:color="auto" w:sz="4" w:space="0"/>
              <w:right w:val="single" w:color="auto" w:sz="4" w:space="0"/>
            </w:tcBorders>
            <w:vAlign w:val="center"/>
          </w:tcPr>
          <w:p w14:paraId="1E79979D">
            <w:pPr>
              <w:jc w:val="center"/>
              <w:rPr>
                <w:rFonts w:hint="eastAsia" w:ascii="宋体" w:hAnsi="宋体" w:eastAsia="宋体" w:cs="宋体"/>
                <w:color w:val="auto"/>
                <w:sz w:val="22"/>
              </w:rPr>
            </w:pPr>
            <w:r>
              <w:rPr>
                <w:rFonts w:hint="eastAsia" w:ascii="宋体" w:hAnsi="宋体" w:eastAsia="宋体" w:cs="宋体"/>
                <w:color w:val="auto"/>
                <w:sz w:val="22"/>
              </w:rPr>
              <w:t>费用管理</w:t>
            </w:r>
          </w:p>
        </w:tc>
        <w:tc>
          <w:tcPr>
            <w:tcW w:w="3012" w:type="pct"/>
            <w:tcBorders>
              <w:top w:val="nil"/>
              <w:left w:val="nil"/>
              <w:bottom w:val="single" w:color="auto" w:sz="4" w:space="0"/>
              <w:right w:val="single" w:color="auto" w:sz="4" w:space="0"/>
            </w:tcBorders>
            <w:vAlign w:val="center"/>
          </w:tcPr>
          <w:p w14:paraId="6E0D352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具备对患者的费用情况进行管理的功能。</w:t>
            </w:r>
            <w:r>
              <w:rPr>
                <w:rFonts w:hint="eastAsia" w:ascii="宋体" w:hAnsi="宋体" w:eastAsia="宋体" w:cs="宋体"/>
                <w:color w:val="auto"/>
                <w:sz w:val="22"/>
                <w:lang w:val="en-US" w:eastAsia="zh-CN"/>
              </w:rPr>
              <w:t>并与HIS收费系统联动。</w:t>
            </w:r>
          </w:p>
          <w:p w14:paraId="2BCB5C34">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支持查看未缴费和已缴费记录。支持手工增加费用记录。支持通过模板快捷增加费用记录。支持将录入的费用信息保存为模板。支持对长期医嘱进行计费。支持打印缴费单。</w:t>
            </w:r>
          </w:p>
          <w:p w14:paraId="39BA17F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支持对医嘱计费状态进行查看，状态包括已计费、未计费、已退费。支持不同计费状态用不同的颜色进行标识。</w:t>
            </w:r>
          </w:p>
        </w:tc>
      </w:tr>
      <w:tr w14:paraId="2DA6B332">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5DA1CE1F">
            <w:pPr>
              <w:rPr>
                <w:rFonts w:hint="eastAsia" w:ascii="宋体" w:hAnsi="宋体" w:eastAsia="宋体" w:cs="宋体"/>
                <w:color w:val="auto"/>
                <w:sz w:val="22"/>
              </w:rPr>
            </w:pPr>
          </w:p>
        </w:tc>
        <w:tc>
          <w:tcPr>
            <w:tcW w:w="435" w:type="pct"/>
            <w:tcBorders>
              <w:top w:val="nil"/>
              <w:left w:val="nil"/>
              <w:bottom w:val="single" w:color="auto" w:sz="4" w:space="0"/>
              <w:right w:val="single" w:color="auto" w:sz="4" w:space="0"/>
            </w:tcBorders>
            <w:vAlign w:val="center"/>
          </w:tcPr>
          <w:p w14:paraId="236D55DA">
            <w:pPr>
              <w:jc w:val="center"/>
              <w:rPr>
                <w:rFonts w:hint="eastAsia" w:ascii="宋体" w:hAnsi="宋体" w:eastAsia="宋体" w:cs="宋体"/>
                <w:color w:val="auto"/>
                <w:sz w:val="22"/>
              </w:rPr>
            </w:pPr>
            <w:r>
              <w:rPr>
                <w:rFonts w:hint="eastAsia" w:ascii="宋体" w:hAnsi="宋体" w:eastAsia="宋体" w:cs="宋体"/>
                <w:color w:val="auto"/>
                <w:sz w:val="22"/>
              </w:rPr>
              <w:t>医嘱执行</w:t>
            </w:r>
          </w:p>
        </w:tc>
        <w:tc>
          <w:tcPr>
            <w:tcW w:w="3012" w:type="pct"/>
            <w:tcBorders>
              <w:top w:val="nil"/>
              <w:left w:val="nil"/>
              <w:bottom w:val="single" w:color="auto" w:sz="4" w:space="0"/>
              <w:right w:val="single" w:color="auto" w:sz="4" w:space="0"/>
            </w:tcBorders>
            <w:vAlign w:val="center"/>
          </w:tcPr>
          <w:p w14:paraId="348356D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具备医嘱执行单的打印功能。支持进行医嘱执行操作。支持查看执行状态和打印状态。</w:t>
            </w:r>
          </w:p>
        </w:tc>
      </w:tr>
      <w:tr w14:paraId="33F9D947">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6F355722">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6C5CA89D">
            <w:pPr>
              <w:jc w:val="center"/>
              <w:rPr>
                <w:rFonts w:hint="eastAsia" w:ascii="宋体" w:hAnsi="宋体" w:eastAsia="宋体" w:cs="宋体"/>
                <w:color w:val="auto"/>
                <w:sz w:val="22"/>
              </w:rPr>
            </w:pPr>
            <w:r>
              <w:rPr>
                <w:rFonts w:hint="eastAsia" w:ascii="宋体" w:hAnsi="宋体" w:eastAsia="宋体" w:cs="宋体"/>
                <w:color w:val="auto"/>
                <w:sz w:val="22"/>
              </w:rPr>
              <w:t>瓶签打印</w:t>
            </w:r>
          </w:p>
        </w:tc>
        <w:tc>
          <w:tcPr>
            <w:tcW w:w="3012" w:type="pct"/>
            <w:tcBorders>
              <w:top w:val="nil"/>
              <w:left w:val="nil"/>
              <w:bottom w:val="single" w:color="auto" w:sz="4" w:space="0"/>
              <w:right w:val="single" w:color="auto" w:sz="4" w:space="0"/>
            </w:tcBorders>
            <w:vAlign w:val="center"/>
          </w:tcPr>
          <w:p w14:paraId="5004A63C">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支持查询瓶签打印相关患者信息。能够按照瓶签打印状态进行快速筛选已打印、未打印的医嘱信息。</w:t>
            </w:r>
          </w:p>
          <w:p w14:paraId="70B1E4C0">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支持按照途径对医嘱进行分类，类型包括输液、注射、皮试、雾化。</w:t>
            </w:r>
          </w:p>
          <w:p w14:paraId="39BD7337">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支持展示医嘱的执行状态和瓶签打印状态。支持皮试医嘱的皮试状态展示，快速查看患者是否有进行皮试操作。支持瓶签打印、输液单打印、执行明细单打印。</w:t>
            </w:r>
          </w:p>
        </w:tc>
      </w:tr>
      <w:tr w14:paraId="20BB74D7">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13113989">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16D8EDDA">
            <w:pPr>
              <w:jc w:val="center"/>
              <w:rPr>
                <w:rFonts w:hint="eastAsia" w:ascii="宋体" w:hAnsi="宋体" w:eastAsia="宋体" w:cs="宋体"/>
                <w:color w:val="auto"/>
                <w:sz w:val="22"/>
              </w:rPr>
            </w:pPr>
            <w:r>
              <w:rPr>
                <w:rFonts w:hint="eastAsia" w:ascii="宋体" w:hAnsi="宋体" w:eastAsia="宋体" w:cs="宋体"/>
                <w:color w:val="auto"/>
                <w:sz w:val="22"/>
              </w:rPr>
              <w:t>皮试管理</w:t>
            </w:r>
          </w:p>
        </w:tc>
        <w:tc>
          <w:tcPr>
            <w:tcW w:w="3012" w:type="pct"/>
            <w:tcBorders>
              <w:top w:val="nil"/>
              <w:left w:val="nil"/>
              <w:bottom w:val="single" w:color="auto" w:sz="4" w:space="0"/>
              <w:right w:val="single" w:color="auto" w:sz="4" w:space="0"/>
            </w:tcBorders>
            <w:vAlign w:val="center"/>
          </w:tcPr>
          <w:p w14:paraId="5910830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支持对皮试过程的管理，记录相关皮试结果。</w:t>
            </w:r>
            <w:r>
              <w:rPr>
                <w:rFonts w:hint="eastAsia" w:ascii="宋体" w:hAnsi="宋体" w:eastAsia="宋体" w:cs="宋体"/>
                <w:color w:val="auto"/>
                <w:sz w:val="22"/>
                <w:lang w:val="en-US" w:eastAsia="zh-CN"/>
              </w:rPr>
              <w:t>并与HIS系统同步。</w:t>
            </w:r>
          </w:p>
          <w:p w14:paraId="216C874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支持按照状态筛选患者信息，包括未皮试、皮试阴性、皮试阳性。支持新增、修改、删除皮试结果信息。</w:t>
            </w:r>
          </w:p>
          <w:p w14:paraId="1B2976B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支持患者皮试信息的录入，包括患者基础信息、皮试药品信息、药品用量规格信息、皮试结果信息、执行人、药品批号信息。</w:t>
            </w:r>
          </w:p>
        </w:tc>
      </w:tr>
      <w:tr w14:paraId="4C58A974">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527E1E57">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4B5EDF53">
            <w:pPr>
              <w:jc w:val="center"/>
              <w:rPr>
                <w:rFonts w:hint="eastAsia" w:ascii="宋体" w:hAnsi="宋体" w:eastAsia="宋体" w:cs="宋体"/>
                <w:color w:val="auto"/>
                <w:sz w:val="22"/>
              </w:rPr>
            </w:pPr>
            <w:r>
              <w:rPr>
                <w:rFonts w:hint="eastAsia" w:ascii="宋体" w:hAnsi="宋体" w:eastAsia="宋体" w:cs="宋体"/>
                <w:color w:val="auto"/>
                <w:sz w:val="22"/>
              </w:rPr>
              <w:t>护理记录</w:t>
            </w:r>
          </w:p>
        </w:tc>
        <w:tc>
          <w:tcPr>
            <w:tcW w:w="3012" w:type="pct"/>
            <w:tcBorders>
              <w:top w:val="nil"/>
              <w:left w:val="nil"/>
              <w:bottom w:val="single" w:color="auto" w:sz="4" w:space="0"/>
              <w:right w:val="single" w:color="auto" w:sz="4" w:space="0"/>
            </w:tcBorders>
            <w:vAlign w:val="center"/>
          </w:tcPr>
          <w:p w14:paraId="383D292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支持护理记录的录入，包含观察项、出入量、导管信息。支持血糖信息的录入，并可区分空腹、餐前、餐后</w:t>
            </w:r>
            <w:r>
              <w:rPr>
                <w:rFonts w:hint="eastAsia" w:ascii="宋体" w:hAnsi="宋体" w:eastAsia="宋体" w:cs="宋体"/>
                <w:color w:val="auto"/>
                <w:sz w:val="22"/>
                <w:lang w:eastAsia="zh-CN"/>
              </w:rPr>
              <w:br w:type="textWrapping"/>
            </w:r>
          </w:p>
          <w:p w14:paraId="517A8772">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支持生命体征、医嘱、检验、检查、评分记录、血糖记录插入护理记录。</w:t>
            </w:r>
          </w:p>
          <w:p w14:paraId="4F7173AE">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支持在新增护理记录过程中导入患者体征信息。</w:t>
            </w:r>
          </w:p>
          <w:p w14:paraId="6B8F1EBD">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支持患者入量信息与医嘱信息同步，在记录入量数据时能够获取患者的相关医嘱信息并进行引用。</w:t>
            </w:r>
          </w:p>
          <w:p w14:paraId="09243094">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能够引用模板，通过模板的方式开始完成护理信息的记录。支持将本次护理信息存为模板，能够在后续操作中引用该模板信息。</w:t>
            </w:r>
            <w:r>
              <w:rPr>
                <w:rFonts w:hint="eastAsia" w:ascii="宋体" w:hAnsi="宋体" w:eastAsia="宋体" w:cs="宋体"/>
                <w:color w:val="auto"/>
                <w:sz w:val="22"/>
                <w:lang w:eastAsia="zh-CN"/>
              </w:rPr>
              <w:br w:type="textWrapping"/>
            </w:r>
            <w:r>
              <w:rPr>
                <w:rFonts w:hint="eastAsia" w:ascii="宋体" w:hAnsi="宋体" w:eastAsia="宋体" w:cs="宋体"/>
                <w:color w:val="auto"/>
                <w:sz w:val="22"/>
                <w:lang w:eastAsia="zh-CN"/>
              </w:rPr>
              <w:t>支持护理小结和总结，能够选择开始与结束时间。</w:t>
            </w:r>
          </w:p>
          <w:p w14:paraId="09E42CA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支持护理信息记录的时间、人员相关信息自动获取。支持记录患者的体温、脉搏、呼吸体征，并可以在体温单上直观呈现。</w:t>
            </w:r>
          </w:p>
          <w:p w14:paraId="11AA4653">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支持对患者进行转归操作，可选择患者转归去向、运送方式以及患者信息备注。支持在患者转归过程中查看去向科室的空余床位数量。支持左侧病人列表显示方式，快捷切换病人。</w:t>
            </w:r>
          </w:p>
        </w:tc>
      </w:tr>
      <w:tr w14:paraId="6FA68FDD">
        <w:tblPrEx>
          <w:tblCellMar>
            <w:top w:w="0" w:type="dxa"/>
            <w:left w:w="108" w:type="dxa"/>
            <w:bottom w:w="0" w:type="dxa"/>
            <w:right w:w="108" w:type="dxa"/>
          </w:tblCellMar>
        </w:tblPrEx>
        <w:trPr>
          <w:trHeight w:val="379" w:hRule="atLeast"/>
        </w:trPr>
        <w:tc>
          <w:tcPr>
            <w:tcW w:w="359" w:type="pct"/>
            <w:vMerge w:val="continue"/>
            <w:tcBorders>
              <w:top w:val="nil"/>
              <w:left w:val="single" w:color="auto" w:sz="4" w:space="0"/>
              <w:bottom w:val="single" w:color="auto" w:sz="4" w:space="0"/>
              <w:right w:val="single" w:color="auto" w:sz="4" w:space="0"/>
            </w:tcBorders>
            <w:vAlign w:val="center"/>
          </w:tcPr>
          <w:p w14:paraId="0069B60A">
            <w:pPr>
              <w:rPr>
                <w:rFonts w:hint="eastAsia" w:ascii="宋体" w:hAnsi="宋体" w:eastAsia="宋体" w:cs="宋体"/>
                <w:color w:val="auto"/>
                <w:sz w:val="22"/>
                <w:lang w:eastAsia="zh-CN"/>
              </w:rPr>
            </w:pPr>
          </w:p>
        </w:tc>
        <w:tc>
          <w:tcPr>
            <w:tcW w:w="435" w:type="pct"/>
            <w:tcBorders>
              <w:top w:val="nil"/>
              <w:left w:val="nil"/>
              <w:bottom w:val="single" w:color="auto" w:sz="4" w:space="0"/>
              <w:right w:val="single" w:color="auto" w:sz="4" w:space="0"/>
            </w:tcBorders>
            <w:vAlign w:val="center"/>
          </w:tcPr>
          <w:p w14:paraId="72794A83">
            <w:pPr>
              <w:jc w:val="center"/>
              <w:rPr>
                <w:rFonts w:hint="eastAsia" w:ascii="宋体" w:hAnsi="宋体" w:eastAsia="宋体" w:cs="宋体"/>
                <w:color w:val="auto"/>
                <w:sz w:val="22"/>
              </w:rPr>
            </w:pPr>
            <w:r>
              <w:rPr>
                <w:rFonts w:hint="eastAsia" w:ascii="宋体" w:hAnsi="宋体" w:eastAsia="宋体" w:cs="宋体"/>
                <w:color w:val="auto"/>
                <w:sz w:val="22"/>
              </w:rPr>
              <w:t>患者转归</w:t>
            </w:r>
          </w:p>
        </w:tc>
        <w:tc>
          <w:tcPr>
            <w:tcW w:w="3012" w:type="pct"/>
            <w:tcBorders>
              <w:top w:val="nil"/>
              <w:left w:val="nil"/>
              <w:bottom w:val="single" w:color="auto" w:sz="4" w:space="0"/>
              <w:right w:val="single" w:color="auto" w:sz="4" w:space="0"/>
            </w:tcBorders>
            <w:vAlign w:val="center"/>
          </w:tcPr>
          <w:p w14:paraId="6FBC0AF6">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新增和查看患者的转归情况。支持转归时记录体征信息。支持批量转归，自动记录流转信息。</w:t>
            </w:r>
          </w:p>
          <w:p w14:paraId="243C02E1">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val="en-US" w:eastAsia="zh-CN"/>
              </w:rPr>
              <w:t>▲</w:t>
            </w:r>
            <w:r>
              <w:rPr>
                <w:rFonts w:hint="eastAsia" w:ascii="宋体" w:hAnsi="宋体" w:eastAsia="宋体" w:cs="宋体"/>
                <w:color w:val="auto"/>
                <w:sz w:val="22"/>
                <w:lang w:eastAsia="zh-CN"/>
              </w:rPr>
              <w:t>支持开具入院证信息。</w:t>
            </w:r>
            <w:r>
              <w:rPr>
                <w:rFonts w:hint="eastAsia" w:ascii="宋体" w:hAnsi="宋体" w:eastAsia="宋体" w:cs="宋体"/>
                <w:color w:val="auto"/>
                <w:sz w:val="22"/>
                <w:lang w:val="en-US" w:eastAsia="zh-CN"/>
              </w:rPr>
              <w:t>并与HIS住院登记系统联动。</w:t>
            </w:r>
          </w:p>
          <w:p w14:paraId="322C7C3A">
            <w:pPr>
              <w:numPr>
                <w:ilvl w:val="0"/>
                <w:numId w:val="1"/>
              </w:numPr>
              <w:ind w:left="425" w:leftChars="0" w:hanging="425" w:firstLineChars="0"/>
              <w:rPr>
                <w:rFonts w:hint="eastAsia" w:ascii="宋体" w:hAnsi="宋体" w:eastAsia="宋体" w:cs="宋体"/>
                <w:color w:val="auto"/>
                <w:sz w:val="22"/>
                <w:lang w:eastAsia="zh-CN"/>
              </w:rPr>
            </w:pPr>
            <w:r>
              <w:rPr>
                <w:rFonts w:hint="eastAsia" w:ascii="宋体" w:hAnsi="宋体" w:eastAsia="宋体" w:cs="宋体"/>
                <w:color w:val="auto"/>
                <w:sz w:val="22"/>
                <w:lang w:eastAsia="zh-CN"/>
              </w:rPr>
              <w:t>支持查看患者全流程转归记录，包括各个转归环节的操作人员和时间信息。</w:t>
            </w:r>
          </w:p>
        </w:tc>
      </w:tr>
    </w:tbl>
    <w:p w14:paraId="7A59C806">
      <w:pPr>
        <w:rPr>
          <w:rFonts w:hint="eastAsia"/>
          <w:lang w:eastAsia="zh-CN"/>
        </w:rPr>
      </w:pPr>
    </w:p>
    <w:p w14:paraId="4DB08429">
      <w:pPr>
        <w:rPr>
          <w:rFonts w:hint="eastAsia"/>
          <w:lang w:val="en-US" w:eastAsia="zh-CN"/>
        </w:rPr>
      </w:pPr>
    </w:p>
    <w:p w14:paraId="67C62318">
      <w:pPr>
        <w:pStyle w:val="2"/>
        <w:numPr>
          <w:ilvl w:val="0"/>
          <w:numId w:val="0"/>
        </w:numPr>
        <w:spacing w:line="240" w:lineRule="auto"/>
        <w:ind w:left="420" w:leftChars="0" w:hanging="420" w:firstLineChars="0"/>
        <w:rPr>
          <w:rFonts w:hint="eastAsia" w:ascii="宋体" w:hAnsi="宋体" w:eastAsia="宋体" w:cs="宋体"/>
          <w:b/>
          <w:bCs/>
          <w:color w:val="auto"/>
          <w:kern w:val="2"/>
          <w:sz w:val="24"/>
          <w:szCs w:val="22"/>
          <w:highlight w:val="none"/>
          <w:lang w:val="en-US" w:eastAsia="zh-CN" w:bidi="ar-SA"/>
        </w:rPr>
      </w:pPr>
      <w:r>
        <w:rPr>
          <w:rFonts w:hint="eastAsia" w:ascii="宋体" w:hAnsi="宋体" w:eastAsia="宋体" w:cs="宋体"/>
          <w:b/>
          <w:bCs/>
          <w:color w:val="auto"/>
          <w:kern w:val="2"/>
          <w:sz w:val="24"/>
          <w:szCs w:val="22"/>
          <w:highlight w:val="none"/>
          <w:lang w:val="en-US" w:eastAsia="zh-CN" w:bidi="ar-SA"/>
        </w:rPr>
        <w:t>三、</w:t>
      </w:r>
      <w:bookmarkStart w:id="12" w:name="_Toc15715"/>
      <w:bookmarkStart w:id="13" w:name="_Toc4319"/>
      <w:bookmarkStart w:id="14" w:name="_Toc88823119"/>
      <w:r>
        <w:rPr>
          <w:rFonts w:hint="eastAsia" w:ascii="宋体" w:hAnsi="宋体" w:eastAsia="宋体" w:cs="宋体"/>
          <w:b/>
          <w:bCs/>
          <w:color w:val="auto"/>
          <w:kern w:val="2"/>
          <w:sz w:val="24"/>
          <w:szCs w:val="22"/>
          <w:highlight w:val="none"/>
          <w:lang w:val="en-US" w:eastAsia="zh-CN" w:bidi="ar-SA"/>
        </w:rPr>
        <w:t>项目建设要求</w:t>
      </w:r>
      <w:bookmarkEnd w:id="12"/>
      <w:bookmarkEnd w:id="13"/>
      <w:bookmarkEnd w:id="14"/>
    </w:p>
    <w:p w14:paraId="6B435671">
      <w:pPr>
        <w:pStyle w:val="3"/>
        <w:spacing w:line="240" w:lineRule="auto"/>
        <w:rPr>
          <w:rFonts w:hint="eastAsia" w:ascii="宋体" w:hAnsi="宋体" w:eastAsia="宋体" w:cs="宋体"/>
          <w:b w:val="0"/>
          <w:bCs w:val="0"/>
          <w:color w:val="auto"/>
          <w:kern w:val="2"/>
          <w:sz w:val="24"/>
          <w:szCs w:val="22"/>
          <w:highlight w:val="none"/>
          <w:lang w:val="en-US" w:eastAsia="zh-CN" w:bidi="ar-SA"/>
        </w:rPr>
      </w:pPr>
      <w:bookmarkStart w:id="15" w:name="_Toc1339"/>
      <w:bookmarkStart w:id="16" w:name="_Toc88823120"/>
      <w:r>
        <w:rPr>
          <w:rFonts w:hint="eastAsia" w:ascii="宋体" w:hAnsi="宋体" w:eastAsia="宋体" w:cs="宋体"/>
          <w:b w:val="0"/>
          <w:bCs w:val="0"/>
          <w:color w:val="auto"/>
          <w:kern w:val="2"/>
          <w:sz w:val="24"/>
          <w:szCs w:val="22"/>
          <w:highlight w:val="none"/>
          <w:lang w:val="en-US" w:eastAsia="zh-CN" w:bidi="ar-SA"/>
        </w:rPr>
        <w:t>（一）基本原则</w:t>
      </w:r>
      <w:bookmarkEnd w:id="15"/>
      <w:bookmarkEnd w:id="16"/>
    </w:p>
    <w:p w14:paraId="7E17480E">
      <w:pPr>
        <w:ind w:firstLine="600" w:firstLineChars="250"/>
        <w:rPr>
          <w:rFonts w:hint="eastAsia" w:ascii="宋体" w:hAnsi="宋体" w:eastAsia="宋体" w:cs="宋体"/>
          <w:b w:val="0"/>
          <w:bCs w:val="0"/>
          <w:color w:val="auto"/>
          <w:kern w:val="2"/>
          <w:sz w:val="24"/>
          <w:szCs w:val="22"/>
          <w:highlight w:val="none"/>
          <w:lang w:val="en-US" w:eastAsia="zh-CN" w:bidi="ar-SA"/>
        </w:rPr>
      </w:pPr>
      <w:r>
        <w:rPr>
          <w:rFonts w:hint="eastAsia" w:ascii="宋体" w:hAnsi="宋体" w:eastAsia="宋体" w:cs="宋体"/>
          <w:b w:val="0"/>
          <w:bCs w:val="0"/>
          <w:color w:val="auto"/>
          <w:kern w:val="2"/>
          <w:sz w:val="24"/>
          <w:szCs w:val="22"/>
          <w:highlight w:val="none"/>
          <w:lang w:val="en-US" w:eastAsia="zh-CN" w:bidi="ar-SA"/>
        </w:rPr>
        <w:t>统筹规划、标准统一、经济实效、适度前瞻。</w:t>
      </w:r>
    </w:p>
    <w:p w14:paraId="5389A170">
      <w:pPr>
        <w:pStyle w:val="3"/>
        <w:spacing w:line="240" w:lineRule="auto"/>
        <w:rPr>
          <w:rFonts w:hint="eastAsia" w:ascii="宋体" w:hAnsi="宋体" w:eastAsia="宋体" w:cs="宋体"/>
          <w:b w:val="0"/>
          <w:bCs w:val="0"/>
          <w:color w:val="auto"/>
          <w:kern w:val="2"/>
          <w:sz w:val="24"/>
          <w:szCs w:val="22"/>
          <w:highlight w:val="none"/>
          <w:lang w:val="en-US" w:eastAsia="zh-CN" w:bidi="ar-SA"/>
        </w:rPr>
      </w:pPr>
      <w:bookmarkStart w:id="17" w:name="_Toc21653"/>
      <w:bookmarkStart w:id="18" w:name="_Toc88823121"/>
      <w:r>
        <w:rPr>
          <w:rFonts w:hint="eastAsia" w:ascii="宋体" w:hAnsi="宋体" w:eastAsia="宋体" w:cs="宋体"/>
          <w:b w:val="0"/>
          <w:bCs w:val="0"/>
          <w:color w:val="auto"/>
          <w:kern w:val="2"/>
          <w:sz w:val="24"/>
          <w:szCs w:val="22"/>
          <w:highlight w:val="none"/>
          <w:lang w:val="en-US" w:eastAsia="zh-CN" w:bidi="ar-SA"/>
        </w:rPr>
        <w:t>（二）系统设计依据</w:t>
      </w:r>
      <w:bookmarkEnd w:id="17"/>
      <w:bookmarkEnd w:id="18"/>
    </w:p>
    <w:p w14:paraId="38472C77">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国家卫健委颁发的：</w:t>
      </w:r>
    </w:p>
    <w:p w14:paraId="3BAA25F2">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《电子病历书写规范》</w:t>
      </w:r>
    </w:p>
    <w:p w14:paraId="3E90BE29">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《医院信息系统功能规范》</w:t>
      </w:r>
    </w:p>
    <w:p w14:paraId="6CD14306">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《电子病历基本架构与数据标准》</w:t>
      </w:r>
    </w:p>
    <w:p w14:paraId="3116125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《健康档案基本架构与数据标准》</w:t>
      </w:r>
    </w:p>
    <w:p w14:paraId="32F74778">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《医院信息化建设应用技术指导》</w:t>
      </w:r>
    </w:p>
    <w:p w14:paraId="26AF7D70">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《全国医院信息化建设标准与规范》</w:t>
      </w:r>
    </w:p>
    <w:p w14:paraId="1992F8CD">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《国家医疗健康信息区域(医院)信息互联互通标准化成熟度测评方案(2020 年版)》</w:t>
      </w:r>
    </w:p>
    <w:p w14:paraId="1B84FEC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《电子病历系统功能应用水平分级评价方法与标准》（试行）</w:t>
      </w:r>
    </w:p>
    <w:p w14:paraId="1B84A6FF">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《医院智慧服务分级评估标准体系》（试行）</w:t>
      </w:r>
    </w:p>
    <w:p w14:paraId="3F5772B3">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系统设计须严格执行国家有关软件工程的标准，保证系统质量，提供完整、准确、详细的开发文档资料，应用设计符合国家及医疗卫生行业的相关标准、规范和医院自身的发展规划，遵循现行的或即将发布的涉及医院信息化建设的国家法律法规。</w:t>
      </w:r>
    </w:p>
    <w:p w14:paraId="7D532EA2">
      <w:pPr>
        <w:shd w:val="clear" w:color="auto" w:fill="auto"/>
        <w:spacing w:line="360" w:lineRule="auto"/>
        <w:ind w:firstLine="480" w:firstLineChars="200"/>
        <w:rPr>
          <w:rFonts w:hint="eastAsia" w:ascii="宋体" w:hAnsi="宋体" w:eastAsia="宋体" w:cs="宋体"/>
          <w:color w:val="auto"/>
          <w:sz w:val="24"/>
          <w:highlight w:val="none"/>
          <w:lang w:val="en-US" w:eastAsia="zh-CN"/>
        </w:rPr>
      </w:pPr>
      <w:bookmarkStart w:id="19" w:name="_Toc88823122"/>
      <w:bookmarkStart w:id="20" w:name="_Toc9809"/>
      <w:r>
        <w:rPr>
          <w:rFonts w:hint="eastAsia" w:ascii="宋体" w:hAnsi="宋体" w:eastAsia="宋体" w:cs="宋体"/>
          <w:color w:val="auto"/>
          <w:sz w:val="24"/>
          <w:highlight w:val="none"/>
          <w:lang w:val="en-US" w:eastAsia="zh-CN"/>
        </w:rPr>
        <w:t>（三）设计原则</w:t>
      </w:r>
      <w:bookmarkEnd w:id="19"/>
      <w:bookmarkEnd w:id="20"/>
    </w:p>
    <w:p w14:paraId="6ACFBA6D">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 系统的先进性：从医院的实际需求出发，采用现代化的理念和技术，对系统的设计做到合理化、科学化，达到低投资、高效益；建成系统先进、适应未来发展，并具有强大的发展潜力。</w:t>
      </w:r>
    </w:p>
    <w:p w14:paraId="63DB2D3A">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② 系统的可靠性：在医院对此次系统投资费用允许的情况下，应当充分利用现代最新技术、最可靠的成果，以便该系统在尽可能长的时间内与社会发展相适应。</w:t>
      </w:r>
    </w:p>
    <w:p w14:paraId="7AB0813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 系统的可维护性：系统建成后满足一是易于故障的排除，二是系统人性化管理，日常管理操作简便。</w:t>
      </w:r>
    </w:p>
    <w:p w14:paraId="68F7BB07">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④ 系统的安全性：系统需在应用层面提供对数据的保护，保护数据的完整性、保密性、抗抵赖性；需提供痕迹管理功能。</w:t>
      </w:r>
    </w:p>
    <w:p w14:paraId="5B744CFF">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⑤ 系统的开放性：为了保证医院信息系统协同运行，系统必须是开放系统，并结合相关的国际标准或工业标准进行。</w:t>
      </w:r>
    </w:p>
    <w:p w14:paraId="46DBA09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⑥ 系统的可扩充性：此次系统建成后具有在系统产品的系列、容量与处理能力等方面的扩充与换代的可能。需以医院现有的各种应用系统为基础，进行整合的原则。</w:t>
      </w:r>
    </w:p>
    <w:p w14:paraId="01489E15">
      <w:pPr>
        <w:shd w:val="clear" w:color="auto" w:fill="auto"/>
        <w:spacing w:line="360" w:lineRule="auto"/>
        <w:ind w:firstLine="482" w:firstLineChars="200"/>
        <w:rPr>
          <w:rFonts w:hint="eastAsia" w:ascii="宋体" w:hAnsi="宋体" w:eastAsia="宋体" w:cs="宋体"/>
          <w:b/>
          <w:bCs/>
          <w:color w:val="auto"/>
          <w:kern w:val="2"/>
          <w:sz w:val="24"/>
          <w:szCs w:val="22"/>
          <w:highlight w:val="none"/>
          <w:lang w:val="en-US" w:eastAsia="zh-CN" w:bidi="ar-SA"/>
        </w:rPr>
      </w:pPr>
      <w:bookmarkStart w:id="21" w:name="_Toc5234"/>
      <w:bookmarkStart w:id="22" w:name="_Toc88823123"/>
      <w:bookmarkStart w:id="23" w:name="_Toc25898"/>
    </w:p>
    <w:p w14:paraId="23E50697">
      <w:pPr>
        <w:shd w:val="clear" w:color="auto" w:fill="auto"/>
        <w:spacing w:line="360" w:lineRule="auto"/>
        <w:ind w:firstLine="482" w:firstLineChars="200"/>
        <w:rPr>
          <w:rFonts w:hint="eastAsia" w:ascii="宋体" w:hAnsi="宋体" w:eastAsia="宋体" w:cs="宋体"/>
          <w:color w:val="auto"/>
          <w:sz w:val="24"/>
          <w:highlight w:val="none"/>
          <w:lang w:val="en-US" w:eastAsia="zh-CN"/>
        </w:rPr>
      </w:pPr>
      <w:r>
        <w:rPr>
          <w:rFonts w:hint="eastAsia" w:ascii="宋体" w:hAnsi="宋体" w:cs="宋体"/>
          <w:b/>
          <w:bCs/>
          <w:color w:val="auto"/>
          <w:kern w:val="2"/>
          <w:sz w:val="24"/>
          <w:szCs w:val="22"/>
          <w:highlight w:val="none"/>
          <w:lang w:val="en-US" w:eastAsia="zh-CN" w:bidi="ar-SA"/>
        </w:rPr>
        <w:t>四</w:t>
      </w:r>
      <w:r>
        <w:rPr>
          <w:rFonts w:hint="eastAsia" w:ascii="宋体" w:hAnsi="宋体" w:eastAsia="宋体" w:cs="宋体"/>
          <w:b/>
          <w:bCs/>
          <w:color w:val="auto"/>
          <w:kern w:val="2"/>
          <w:sz w:val="24"/>
          <w:szCs w:val="22"/>
          <w:highlight w:val="none"/>
          <w:lang w:val="en-US" w:eastAsia="zh-CN" w:bidi="ar-SA"/>
        </w:rPr>
        <w:t>、其他要求</w:t>
      </w:r>
    </w:p>
    <w:p w14:paraId="3DCF0E09">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★（一）总体软件技术要求：</w:t>
      </w:r>
      <w:bookmarkEnd w:id="21"/>
      <w:bookmarkEnd w:id="22"/>
      <w:bookmarkEnd w:id="23"/>
    </w:p>
    <w:p w14:paraId="7BC47877">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本次采购的软件能与医院现有医院信息管理系统（HIS）、电子病历系统（EMR）、LIS系统、PACS系统</w:t>
      </w:r>
      <w:r>
        <w:rPr>
          <w:rFonts w:hint="eastAsia" w:ascii="宋体" w:hAnsi="宋体" w:cs="宋体"/>
          <w:color w:val="auto"/>
          <w:sz w:val="24"/>
          <w:highlight w:val="none"/>
          <w:lang w:val="en-US" w:eastAsia="zh-CN"/>
        </w:rPr>
        <w:t>、急诊电子病历系统</w:t>
      </w:r>
      <w:r>
        <w:rPr>
          <w:rFonts w:hint="eastAsia" w:ascii="宋体" w:hAnsi="宋体" w:eastAsia="宋体" w:cs="宋体"/>
          <w:color w:val="auto"/>
          <w:sz w:val="24"/>
          <w:highlight w:val="none"/>
          <w:lang w:val="en-US" w:eastAsia="zh-CN"/>
        </w:rPr>
        <w:t>等</w:t>
      </w:r>
      <w:r>
        <w:rPr>
          <w:rFonts w:hint="eastAsia" w:ascii="宋体" w:hAnsi="宋体" w:cs="宋体"/>
          <w:color w:val="auto"/>
          <w:sz w:val="24"/>
          <w:highlight w:val="none"/>
          <w:lang w:val="en-US" w:eastAsia="zh-CN"/>
        </w:rPr>
        <w:t>院内现有</w:t>
      </w:r>
      <w:r>
        <w:rPr>
          <w:rFonts w:hint="eastAsia" w:ascii="宋体" w:hAnsi="宋体" w:eastAsia="宋体" w:cs="宋体"/>
          <w:color w:val="auto"/>
          <w:sz w:val="24"/>
          <w:highlight w:val="none"/>
          <w:lang w:val="en-US" w:eastAsia="zh-CN"/>
        </w:rPr>
        <w:t>系统进行对接，接口费包含在本项目响应报价中。（供应商需针对本条提供承诺函）</w:t>
      </w:r>
    </w:p>
    <w:p w14:paraId="5B3DF300">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★（二）实施要求：</w:t>
      </w:r>
    </w:p>
    <w:p w14:paraId="6632436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供应商应在响应文件中承诺：参与本项目磋商的全部软件必须根据采购人实际需求调整业务流程及相关配置，并确保各系统间数据正常交互，同时满足采购人对所采软件的定制化开发需求，并在提出需求后30个工作日内完成交付</w:t>
      </w:r>
      <w:r>
        <w:rPr>
          <w:rFonts w:hint="eastAsia" w:ascii="宋体" w:hAnsi="宋体" w:eastAsia="宋体" w:cs="宋体"/>
          <w:b/>
          <w:bCs/>
          <w:color w:val="auto"/>
          <w:sz w:val="24"/>
          <w:highlight w:val="none"/>
          <w:lang w:val="en-US" w:eastAsia="zh-CN"/>
        </w:rPr>
        <w:t>（供应商在响应文中提供承诺函）</w:t>
      </w:r>
      <w:r>
        <w:rPr>
          <w:rFonts w:hint="eastAsia" w:ascii="宋体" w:hAnsi="宋体" w:eastAsia="宋体" w:cs="宋体"/>
          <w:color w:val="auto"/>
          <w:sz w:val="24"/>
          <w:highlight w:val="none"/>
          <w:lang w:val="en-US" w:eastAsia="zh-CN"/>
        </w:rPr>
        <w:t>。</w:t>
      </w:r>
    </w:p>
    <w:p w14:paraId="306F5A54">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实施进度要求：供应商根据医院实际情况，制定出详细、有序、安全稳妥的实施方案，包括但不限于：系统实施计划(含时间进度表、测试、试运行、培训及上线计划）等，承诺保证在合同规定时间内上线及信息系统的平稳过渡</w:t>
      </w:r>
      <w:r>
        <w:rPr>
          <w:rFonts w:hint="eastAsia" w:ascii="宋体" w:hAnsi="宋体" w:eastAsia="宋体" w:cs="宋体"/>
          <w:b/>
          <w:bCs/>
          <w:color w:val="auto"/>
          <w:sz w:val="24"/>
          <w:highlight w:val="none"/>
          <w:lang w:val="en-US" w:eastAsia="zh-CN"/>
        </w:rPr>
        <w:t>（供应商在投标文中提供承诺函）</w:t>
      </w:r>
      <w:r>
        <w:rPr>
          <w:rFonts w:hint="eastAsia" w:ascii="宋体" w:hAnsi="宋体" w:eastAsia="宋体" w:cs="宋体"/>
          <w:color w:val="auto"/>
          <w:sz w:val="24"/>
          <w:highlight w:val="none"/>
          <w:lang w:val="en-US" w:eastAsia="zh-CN"/>
        </w:rPr>
        <w:t>。</w:t>
      </w:r>
    </w:p>
    <w:p w14:paraId="08CEB546">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 实施阶段节点要求：根据项目情况按照：需求调研、流程分析与确认。系统配置与集成部署、数据准备。系统测试、模拟运行、培训、上线运行、稳定验收等阶段制定详细实施计划。</w:t>
      </w:r>
    </w:p>
    <w:p w14:paraId="33B69B98">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4、实施进度控制与保障措施：成交供应商需要对项目实施的进度控制及工作保障有详细的合理可行的安排计划。</w:t>
      </w:r>
    </w:p>
    <w:p w14:paraId="337A80E5">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5、项目验收须按照项目磋商文件的技术规格要求进行，在整个项目实施和验收的过程中，项目实施应该严格按照国家软件工程规范进行，根据实施进度及时提供有关文档，包括但不仅限于以下内容：</w:t>
      </w:r>
    </w:p>
    <w:p w14:paraId="2CF86BC8">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准备阶段：《实施计划》。</w:t>
      </w:r>
    </w:p>
    <w:p w14:paraId="2BB6BAC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调研阶段：《调研报告》（包含：软件系统部署环境、用户业务流程、用户数据报表等）。</w:t>
      </w:r>
    </w:p>
    <w:p w14:paraId="5A6A0914">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设计阶段：《系统设计说明书》、《数据库设计说明书》（仅包含：根据本次项目调研结果及要求，对采购人特定的业务流程、用户数据等内容做设计说明）。</w:t>
      </w:r>
    </w:p>
    <w:p w14:paraId="15B740B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测试阶段：《测试计划》、《测试方案》、《测试记录》、《测试报告》。</w:t>
      </w:r>
    </w:p>
    <w:p w14:paraId="1C2C109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上线阶段：《试运行/上线报告》。</w:t>
      </w:r>
    </w:p>
    <w:p w14:paraId="701BE789">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过程文档：《培训计划》、《培训记录》、《例会记录》。</w:t>
      </w:r>
    </w:p>
    <w:p w14:paraId="440E30F7">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交付使用：《用户手册》、《系统部署手册》、《数据库数据字典》。</w:t>
      </w:r>
    </w:p>
    <w:p w14:paraId="12ED98D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《用户调查与需求分析报告》、《系统概要设计方案》、《功能规格说明书》、《系统详细设计说明书》、《系统维护手册》、《用户操作手册》、《测试报告》等。</w:t>
      </w:r>
    </w:p>
    <w:p w14:paraId="035C1AA8">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6、实施质量要求：</w:t>
      </w:r>
    </w:p>
    <w:p w14:paraId="627248DD">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成交供应商应根据采购人需求对系统功能等内容进行配置，并根据采购人需求对其它系统或设备进行对接。</w:t>
      </w:r>
    </w:p>
    <w:p w14:paraId="62356586">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采购人拥有本次所购置的软件系统注册版的永久使用权，项目系统实施完成后使用，其用户资料及数据归采购人所有。</w:t>
      </w:r>
    </w:p>
    <w:p w14:paraId="02C2545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（三）售后服务要求</w:t>
      </w:r>
    </w:p>
    <w:p w14:paraId="3B4CA45A">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1、供应商应在四川地区设立常驻服务机构或成交后设立常驻服务机构，并拥有专职售后服务技术人员。</w:t>
      </w:r>
    </w:p>
    <w:p w14:paraId="4E46191C">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针对本项目，供应商需提出完整而切实可行的售后服务方案。其中，至少应提供7×24小时热线电话、远程网络、现场等服务方式。热线电话和远程网络提供技术咨询和即时服务，1小时内给予明确的响应并解决。现场服务适用于排解重大故障，供应商应在接到医院服务请求后4小时内到达现场解决。</w:t>
      </w:r>
    </w:p>
    <w:p w14:paraId="0FD1CB49">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3、质保期为从业务系统整体验收并正常使用之日起1年。质保期内，供应商对本项目所有软件进行免费升级、免费维护。在质保期内，供应商需对采购人现有接口以及新需求接口提供免费对接和开通服务。</w:t>
      </w:r>
    </w:p>
    <w:p w14:paraId="0F092D9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4、质保期过后，供应商应提供系统软件终身维护服务，维护费用不超过本项目合同金额的10%/年，为采购人继续提供技术支持。具体服务内容包括不限于：</w:t>
      </w:r>
    </w:p>
    <w:p w14:paraId="480B32F5">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① 对医院在软件系统使用过程中提出的合理化需求进行优化和完善。包含但不限于系统功能完善、优化以及根据医院业务发展及国家政策等需求对医院信息系统现有软件模块功能的新增、修订等（若需要新增软件模块才能满足要求或解决问题的由医院另行采购）。</w:t>
      </w:r>
    </w:p>
    <w:p w14:paraId="0E248743">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★② </w:t>
      </w:r>
      <w:r>
        <w:rPr>
          <w:rFonts w:hint="eastAsia" w:ascii="宋体" w:hAnsi="宋体" w:cs="宋体"/>
          <w:color w:val="auto"/>
          <w:sz w:val="24"/>
          <w:highlight w:val="none"/>
          <w:lang w:val="en-US" w:eastAsia="zh-CN"/>
        </w:rPr>
        <w:t>配合</w:t>
      </w:r>
      <w:r>
        <w:rPr>
          <w:rFonts w:hint="eastAsia" w:ascii="宋体" w:hAnsi="宋体" w:eastAsia="宋体" w:cs="宋体"/>
          <w:color w:val="auto"/>
          <w:sz w:val="24"/>
          <w:highlight w:val="none"/>
          <w:lang w:val="en-US" w:eastAsia="zh-CN"/>
        </w:rPr>
        <w:t>医院现有信息系统 (HIS、LIS、PACS、EMR、体检、物流等)常规维护、升级，并对在日常使用过程中软件系统本身出现的BUG进行及时修复。本项目如涉及到与医院现有信息系统（HIS、LIS、PACS、EMR、体检、物流等）做对接，接口费包含在本项目中，由成交供应商承担。</w:t>
      </w:r>
    </w:p>
    <w:p w14:paraId="7C919BFF">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③承担医院现有的由供应商提供的软件系统间的各种接口，以及医院已采购的供应商软件系统与第三公司软件系统的各种接口的升级、改造、维护工作（包含所有新增设备的接口开发）。</w:t>
      </w:r>
    </w:p>
    <w:p w14:paraId="20FE0D13">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④ 对因政策性原因导致现有软件系统功能不能满足要求的软件系统进行相应系统功能的修改、完善。</w:t>
      </w:r>
    </w:p>
    <w:p w14:paraId="3698F4F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⑤ 各种政策性要求的接口的开发工作。</w:t>
      </w:r>
    </w:p>
    <w:p w14:paraId="7B687250">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⑥ 因医院信息系统数据中心机房的硬件设备、网络结构、地理位置等发生改变需要对信息系统进行迁移、安装调试等技术服务。</w:t>
      </w:r>
    </w:p>
    <w:p w14:paraId="44A312CF">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⑦ 完善、维护信息系统，保障各子系统（如HIS、LlS、PACS、EMR、体检等）间的互联互通及数据共享。</w:t>
      </w:r>
    </w:p>
    <w:p w14:paraId="35DCA9EB">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⑧ 完善、修订、新增符合医院管理需求的各种报表，完善信息系统统计功能等。</w:t>
      </w:r>
    </w:p>
    <w:p w14:paraId="19CB761B">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⑨ 优化医院信息系统数据，提高系统运行效率。</w:t>
      </w:r>
    </w:p>
    <w:p w14:paraId="583BE1B3">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⑩ 供应商需每个季度对医院信息系统运行情况进行巡检，并形成巡检报告。</w:t>
      </w:r>
    </w:p>
    <w:p w14:paraId="2D982D43">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⑪</w:t>
      </w:r>
      <w:r>
        <w:rPr>
          <w:rFonts w:hint="eastAsia" w:ascii="宋体" w:hAnsi="宋体" w:eastAsia="宋体" w:cs="宋体"/>
          <w:color w:val="auto"/>
          <w:sz w:val="24"/>
          <w:highlight w:val="none"/>
          <w:lang w:val="en-US" w:eastAsia="zh-CN"/>
        </w:rPr>
        <w:t xml:space="preserve"> 其他需要供应商提供技术协助的事宜（如电子病历分级评价测评、互联互通成熟度测评等）。</w:t>
      </w:r>
    </w:p>
    <w:p w14:paraId="322CAA7F">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（四）培训要求</w:t>
      </w:r>
    </w:p>
    <w:p w14:paraId="74E59F11">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1、免费培训</w:t>
      </w:r>
    </w:p>
    <w:p w14:paraId="5C10FA5C">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要求对医院信息化管理、使用人员进行免费现场培训。</w:t>
      </w:r>
    </w:p>
    <w:p w14:paraId="5FA0C027">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2、培训对象</w:t>
      </w:r>
    </w:p>
    <w:p w14:paraId="4F630052">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 xml:space="preserve">培训对象包括系统管理员、模块管理人员、操作员，要求对医院人员全覆盖培训即对医院管理人员培训、医院信息科室技术人员培训、系统使用操作人员培训。  </w:t>
      </w:r>
    </w:p>
    <w:p w14:paraId="0109BDEE">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3、培训内容：系统管理人员培训内容为系统中涉及的相关技术内容。模块管理人员培训内容为系统流程和相关管理思想。操作员为系统的操作培训。</w:t>
      </w:r>
    </w:p>
    <w:p w14:paraId="2F2B9E12">
      <w:pPr>
        <w:shd w:val="clear" w:color="auto" w:fill="auto"/>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继续教育：医院信息化建设是一项长期的工作，随着医院信息系统在医院各个层次、各个方面、各个部门广泛面深入的应用，信息系统需要不断更新和完善，对医院管理及各类人员操作、应用水平会不断提出新的、更高的要求。因此，要求培训工作将根据医院情况长期给予支持，提供至少半年的免费培训。</w:t>
      </w:r>
    </w:p>
    <w:p w14:paraId="71E5900C">
      <w:pPr>
        <w:pStyle w:val="8"/>
        <w:spacing w:line="360" w:lineRule="auto"/>
        <w:ind w:firstLine="486"/>
        <w:rPr>
          <w:rFonts w:hint="default" w:ascii="宋体" w:hAnsi="宋体" w:eastAsia="宋体"/>
          <w:color w:val="auto"/>
          <w:sz w:val="24"/>
          <w:szCs w:val="24"/>
          <w:lang w:eastAsia="zh-CN"/>
        </w:rPr>
      </w:pPr>
      <w:r>
        <w:rPr>
          <w:rFonts w:hint="default" w:ascii="宋体" w:hAnsi="宋体" w:eastAsia="宋体"/>
          <w:color w:val="auto"/>
          <w:sz w:val="24"/>
          <w:szCs w:val="24"/>
          <w:lang w:val="en-US" w:eastAsia="zh-CN"/>
        </w:rPr>
        <w:t>★</w:t>
      </w:r>
      <w:r>
        <w:rPr>
          <w:rFonts w:hint="eastAsia" w:ascii="宋体" w:hAnsi="宋体" w:eastAsia="宋体" w:cs="宋体"/>
          <w:b/>
          <w:bCs/>
          <w:color w:val="auto"/>
          <w:kern w:val="2"/>
          <w:sz w:val="24"/>
          <w:szCs w:val="22"/>
          <w:highlight w:val="none"/>
          <w:lang w:val="en-US" w:eastAsia="zh-CN" w:bidi="ar-SA"/>
        </w:rPr>
        <w:t>五、</w:t>
      </w:r>
      <w:r>
        <w:rPr>
          <w:rFonts w:hint="default" w:ascii="宋体" w:hAnsi="宋体" w:eastAsia="宋体" w:cs="宋体"/>
          <w:b/>
          <w:bCs/>
          <w:color w:val="auto"/>
          <w:kern w:val="2"/>
          <w:sz w:val="24"/>
          <w:szCs w:val="22"/>
          <w:highlight w:val="none"/>
          <w:lang w:val="en-US" w:eastAsia="zh-CN" w:bidi="ar-SA"/>
        </w:rPr>
        <w:t>商务要求</w:t>
      </w:r>
    </w:p>
    <w:p w14:paraId="630AA4EE">
      <w:pPr>
        <w:pStyle w:val="8"/>
        <w:spacing w:line="360" w:lineRule="auto"/>
        <w:ind w:firstLine="486"/>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1.服务时间：合同签订后</w:t>
      </w:r>
      <w:r>
        <w:rPr>
          <w:rFonts w:hint="eastAsia" w:ascii="宋体" w:hAnsi="宋体"/>
          <w:color w:val="auto"/>
          <w:sz w:val="24"/>
          <w:szCs w:val="24"/>
          <w:lang w:val="en-US" w:eastAsia="zh-CN"/>
        </w:rPr>
        <w:t>60</w:t>
      </w:r>
      <w:r>
        <w:rPr>
          <w:rFonts w:hint="default" w:ascii="宋体" w:hAnsi="宋体" w:eastAsia="宋体"/>
          <w:color w:val="auto"/>
          <w:sz w:val="24"/>
          <w:szCs w:val="24"/>
          <w:lang w:val="en-US" w:eastAsia="zh-CN"/>
        </w:rPr>
        <w:t>个工作日内上线使用。</w:t>
      </w:r>
    </w:p>
    <w:p w14:paraId="2507A406">
      <w:pPr>
        <w:pStyle w:val="8"/>
        <w:spacing w:line="360" w:lineRule="auto"/>
        <w:ind w:firstLine="486"/>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2</w:t>
      </w:r>
      <w:r>
        <w:rPr>
          <w:rFonts w:hint="default" w:ascii="宋体" w:hAnsi="宋体" w:eastAsia="宋体"/>
          <w:color w:val="auto"/>
          <w:sz w:val="24"/>
          <w:szCs w:val="24"/>
          <w:lang w:val="en-US" w:eastAsia="zh-CN"/>
        </w:rPr>
        <w:t>.履行地点：采购人指定地点。</w:t>
      </w:r>
    </w:p>
    <w:p w14:paraId="42BD8C2B">
      <w:pPr>
        <w:pStyle w:val="8"/>
        <w:spacing w:line="360" w:lineRule="auto"/>
        <w:ind w:firstLine="486"/>
        <w:rPr>
          <w:rFonts w:hint="default" w:ascii="宋体" w:hAnsi="宋体" w:eastAsia="宋体"/>
          <w:color w:val="auto"/>
          <w:sz w:val="24"/>
          <w:szCs w:val="24"/>
          <w:lang w:val="en-US" w:eastAsia="zh-CN"/>
        </w:rPr>
      </w:pPr>
      <w:r>
        <w:rPr>
          <w:rFonts w:hint="default" w:ascii="宋体" w:hAnsi="宋体" w:eastAsia="宋体"/>
          <w:color w:val="auto"/>
          <w:sz w:val="24"/>
          <w:szCs w:val="24"/>
          <w:lang w:val="en-US" w:eastAsia="zh-CN"/>
        </w:rPr>
        <w:t>3.付款方式：合同签订后7日内，支付合同额的35%作为预付款。软件上线后的30日内，支付合同额的30%。项目整体验收合格后30日内，支付合同额的30%。项目验收期满1年后30日内，支付合同额的5%。</w:t>
      </w:r>
    </w:p>
    <w:p w14:paraId="42E043BB">
      <w:pPr>
        <w:pStyle w:val="8"/>
        <w:spacing w:line="360" w:lineRule="auto"/>
        <w:ind w:firstLine="486"/>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供应商</w:t>
      </w:r>
      <w:r>
        <w:rPr>
          <w:rFonts w:hint="default" w:ascii="宋体" w:hAnsi="宋体" w:eastAsia="宋体"/>
          <w:color w:val="auto"/>
          <w:sz w:val="24"/>
          <w:szCs w:val="24"/>
          <w:lang w:val="en-US" w:eastAsia="zh-CN"/>
        </w:rPr>
        <w:t>须向采购人出具合法有效完整的完税发票及凭证资料进行支付结算。</w:t>
      </w:r>
    </w:p>
    <w:p w14:paraId="50D973C5">
      <w:pPr>
        <w:pStyle w:val="8"/>
        <w:spacing w:line="360" w:lineRule="auto"/>
        <w:ind w:firstLine="486"/>
        <w:rPr>
          <w:rFonts w:hint="default" w:ascii="宋体" w:hAnsi="宋体" w:eastAsia="宋体"/>
          <w:color w:val="auto"/>
          <w:sz w:val="24"/>
          <w:szCs w:val="24"/>
        </w:rPr>
      </w:pPr>
      <w:r>
        <w:rPr>
          <w:rFonts w:hint="eastAsia" w:ascii="宋体" w:hAnsi="宋体"/>
          <w:color w:val="auto"/>
          <w:sz w:val="24"/>
          <w:szCs w:val="24"/>
          <w:lang w:val="en-US" w:eastAsia="zh-CN"/>
        </w:rPr>
        <w:t>4</w:t>
      </w:r>
      <w:r>
        <w:rPr>
          <w:rFonts w:hint="default" w:ascii="宋体" w:hAnsi="宋体" w:eastAsia="宋体"/>
          <w:color w:val="auto"/>
          <w:sz w:val="24"/>
          <w:szCs w:val="24"/>
          <w:lang w:val="en-US" w:eastAsia="zh-CN"/>
        </w:rPr>
        <w:t>.</w:t>
      </w:r>
      <w:r>
        <w:rPr>
          <w:rFonts w:hint="default" w:ascii="宋体" w:hAnsi="宋体" w:eastAsia="宋体"/>
          <w:color w:val="auto"/>
          <w:sz w:val="24"/>
          <w:szCs w:val="24"/>
        </w:rPr>
        <w:t>验收标准：按照《财政部关于进一步加强政府采购需求和履约验收管理的指导意见》(财库〔2016〕205号)、《四川省政府采购项目需求论证和履约验收管理办法》(川财采〔2015〕32号)的要求进行验收。</w:t>
      </w:r>
    </w:p>
    <w:bookmarkEnd w:id="1"/>
    <w:p w14:paraId="72AA162E">
      <w:pPr>
        <w:pStyle w:val="9"/>
        <w:numPr>
          <w:ilvl w:val="0"/>
          <w:numId w:val="0"/>
        </w:numPr>
        <w:spacing w:line="360" w:lineRule="auto"/>
        <w:ind w:firstLine="480" w:firstLineChars="200"/>
        <w:rPr>
          <w:rFonts w:hint="eastAsia" w:ascii="宋体" w:hAnsi="宋体" w:eastAsia="宋体" w:cs="宋体"/>
          <w:color w:val="auto"/>
          <w:highlight w:val="none"/>
          <w:lang w:val="en-US" w:eastAsia="zh-CN"/>
        </w:rPr>
      </w:pPr>
      <w:r>
        <w:rPr>
          <w:rFonts w:hint="default" w:ascii="宋体" w:hAnsi="宋体" w:eastAsia="宋体" w:cs="Times New Roman"/>
          <w:color w:val="auto"/>
          <w:kern w:val="0"/>
          <w:sz w:val="24"/>
          <w:szCs w:val="24"/>
          <w:lang w:val="en-US" w:eastAsia="zh-Hans"/>
        </w:rPr>
        <w:t>注：</w:t>
      </w:r>
      <w:r>
        <w:rPr>
          <w:rFonts w:hint="eastAsia" w:ascii="宋体" w:hAnsi="宋体" w:cs="宋体"/>
          <w:sz w:val="24"/>
          <w:szCs w:val="24"/>
          <w:lang w:val="en-US" w:eastAsia="zh-CN"/>
        </w:rPr>
        <w:t>1.</w:t>
      </w:r>
      <w:r>
        <w:rPr>
          <w:rFonts w:hint="eastAsia" w:ascii="宋体" w:hAnsi="宋体" w:eastAsia="宋体" w:cs="宋体"/>
          <w:sz w:val="24"/>
          <w:szCs w:val="24"/>
        </w:rPr>
        <w:t xml:space="preserve">标注“▲”号参数按技术参数表中要求提供相关材料的，供应商应提供相关证明材料加盖供应商鲜章，未提供的视为不满足，将影响得分。 </w:t>
      </w:r>
      <w:r>
        <w:rPr>
          <w:rFonts w:hint="eastAsia" w:ascii="宋体" w:hAnsi="宋体" w:cs="宋体"/>
          <w:sz w:val="24"/>
          <w:szCs w:val="24"/>
          <w:lang w:val="en-US" w:eastAsia="zh-CN"/>
        </w:rPr>
        <w:t>2</w:t>
      </w:r>
      <w:r>
        <w:rPr>
          <w:rFonts w:hint="eastAsia" w:ascii="宋体" w:hAnsi="宋体" w:eastAsia="宋体" w:cs="宋体"/>
          <w:sz w:val="24"/>
          <w:szCs w:val="24"/>
        </w:rPr>
        <w:t>.参数中带“★”号的参数为实质性要求，按技术参数表中要求提供相关证明材料予以佐证，不提供将视为无效投标处理，不作为本项评分项</w:t>
      </w:r>
      <w:r>
        <w:rPr>
          <w:rFonts w:hint="eastAsia" w:ascii="宋体" w:hAnsi="宋体" w:eastAsia="宋体" w:cs="Times New Roman"/>
          <w:color w:val="auto"/>
          <w:kern w:val="0"/>
          <w:sz w:val="24"/>
          <w:szCs w:val="24"/>
          <w:lang w:val="en-US" w:eastAsia="zh-CN"/>
        </w:rPr>
        <w:t>。</w:t>
      </w:r>
      <w:bookmarkEnd w:id="2"/>
      <w:bookmarkEnd w:id="3"/>
      <w:bookmarkEnd w:id="4"/>
      <w:bookmarkEnd w:id="5"/>
      <w:bookmarkEnd w:id="6"/>
      <w:bookmarkEnd w:id="7"/>
      <w:bookmarkEnd w:id="8"/>
    </w:p>
    <w:p w14:paraId="1010401A">
      <w:pPr>
        <w:pStyle w:val="4"/>
        <w:shd w:val="clear" w:color="auto" w:fill="auto"/>
        <w:rPr>
          <w:rFonts w:hint="eastAsia" w:ascii="宋体" w:hAnsi="宋体" w:eastAsia="宋体" w:cs="宋体"/>
          <w:color w:val="auto"/>
          <w:highlight w:val="none"/>
          <w:lang w:val="en-US" w:eastAsia="zh-CN"/>
        </w:rPr>
      </w:pPr>
    </w:p>
    <w:p w14:paraId="0F46D1D3"/>
    <w:p w14:paraId="22496D44">
      <w:pPr>
        <w:pStyle w:val="2"/>
        <w:keepNext w:val="0"/>
        <w:keepLines w:val="0"/>
        <w:shd w:val="clear" w:color="auto" w:fill="auto"/>
        <w:spacing w:line="360" w:lineRule="auto"/>
        <w:jc w:val="center"/>
        <w:rPr>
          <w:rFonts w:hint="eastAsia" w:ascii="宋体" w:hAnsi="宋体" w:eastAsia="宋体" w:cs="宋体"/>
          <w:color w:val="auto"/>
          <w:sz w:val="30"/>
          <w:szCs w:val="30"/>
          <w:highlight w:val="none"/>
        </w:rPr>
      </w:pPr>
      <w:bookmarkStart w:id="24" w:name="_Toc10686"/>
      <w:bookmarkStart w:id="25" w:name="_Toc28873"/>
      <w:r>
        <w:rPr>
          <w:rFonts w:hint="eastAsia" w:ascii="宋体" w:hAnsi="宋体" w:eastAsia="宋体" w:cs="宋体"/>
          <w:color w:val="auto"/>
          <w:sz w:val="30"/>
          <w:szCs w:val="30"/>
          <w:highlight w:val="none"/>
        </w:rPr>
        <w:t>三、综合评分</w:t>
      </w:r>
      <w:bookmarkEnd w:id="24"/>
      <w:bookmarkEnd w:id="25"/>
    </w:p>
    <w:p w14:paraId="677F701C">
      <w:pPr>
        <w:shd w:val="clear" w:color="auto" w:fill="auto"/>
        <w:spacing w:line="360" w:lineRule="auto"/>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3.1本次综合评分的因素是：详见本章节综合评分明细表。</w:t>
      </w:r>
    </w:p>
    <w:p w14:paraId="46DB16E7">
      <w:pPr>
        <w:shd w:val="clear" w:color="auto" w:fill="auto"/>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3.2 除价格因素外，评审小组成员应当根据自身专业情况独立对每个有效供应商的响应文件进行评价、打分。技术、与技术有关的服务及其他技术类评分因素由抽取的技术方面评审小组成员独立评分。财务状况及其他经济类评分因素由抽取的经济方面评审小组成员独立评分。采购政策功能、采购合同主要条款及其他政策合同类的评分因素由抽取的法律方面评审小组成员独立评分。采购人代表原则上对技术、与技术有关的服务及其他技术类评分因素独立评分。价格及其他不能明确区分的评分因素由评审小组成员共同评分。</w:t>
      </w:r>
    </w:p>
    <w:p w14:paraId="3511F0E7">
      <w:pPr>
        <w:shd w:val="clear" w:color="auto" w:fill="auto"/>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lang w:val="en-US" w:eastAsia="zh-CN"/>
        </w:rPr>
        <w:t>3.3</w:t>
      </w:r>
      <w:r>
        <w:rPr>
          <w:rFonts w:hint="eastAsia" w:ascii="宋体" w:hAnsi="宋体" w:eastAsia="宋体" w:cs="宋体"/>
          <w:color w:val="auto"/>
          <w:sz w:val="24"/>
          <w:highlight w:val="none"/>
        </w:rPr>
        <w:t>评标委员会对满足</w:t>
      </w:r>
      <w:r>
        <w:rPr>
          <w:rFonts w:hint="eastAsia" w:ascii="宋体" w:hAnsi="宋体" w:eastAsia="宋体" w:cs="宋体"/>
          <w:color w:val="auto"/>
          <w:sz w:val="24"/>
          <w:highlight w:val="none"/>
          <w:lang w:eastAsia="zh-CN"/>
        </w:rPr>
        <w:t>采购文件</w:t>
      </w:r>
      <w:r>
        <w:rPr>
          <w:rFonts w:hint="eastAsia" w:ascii="宋体" w:hAnsi="宋体" w:eastAsia="宋体" w:cs="宋体"/>
          <w:color w:val="auto"/>
          <w:sz w:val="24"/>
          <w:highlight w:val="none"/>
        </w:rPr>
        <w:t>实质性要求的投标文件，按照规定的评分标准进行打分，并按得分由高到低顺序推荐中标候选人，但评标委员会认为投标报价低于其成本的除外。</w:t>
      </w:r>
    </w:p>
    <w:p w14:paraId="4744C328">
      <w:pPr>
        <w:pStyle w:val="5"/>
        <w:shd w:val="clear" w:color="auto" w:fill="auto"/>
        <w:tabs>
          <w:tab w:val="left" w:pos="600"/>
        </w:tabs>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3.3综合评分明细表</w:t>
      </w:r>
    </w:p>
    <w:p w14:paraId="17ADB4AC">
      <w:pPr>
        <w:pStyle w:val="5"/>
        <w:shd w:val="clear" w:color="auto" w:fill="auto"/>
        <w:tabs>
          <w:tab w:val="left" w:pos="600"/>
        </w:tabs>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3.3.1综合评分明细表的制定以科学合理、降低评委会自由裁量权为原则。</w:t>
      </w:r>
    </w:p>
    <w:p w14:paraId="6D273F2A">
      <w:pPr>
        <w:pStyle w:val="5"/>
        <w:keepNext w:val="0"/>
        <w:keepLines w:val="0"/>
        <w:pageBreakBefore w:val="0"/>
        <w:widowControl w:val="0"/>
        <w:tabs>
          <w:tab w:val="left" w:pos="600"/>
        </w:tabs>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3.3.2综合评分明细表</w:t>
      </w:r>
    </w:p>
    <w:tbl>
      <w:tblPr>
        <w:tblStyle w:val="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1925"/>
        <w:gridCol w:w="831"/>
        <w:gridCol w:w="4330"/>
        <w:gridCol w:w="646"/>
      </w:tblGrid>
      <w:tr w14:paraId="43A8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blHeader/>
          <w:jc w:val="center"/>
        </w:trPr>
        <w:tc>
          <w:tcPr>
            <w:tcW w:w="459" w:type="pct"/>
            <w:noWrap w:val="0"/>
            <w:vAlign w:val="center"/>
          </w:tcPr>
          <w:p w14:paraId="78A87C52">
            <w:pPr>
              <w:snapToGrid w:val="0"/>
              <w:ind w:left="0" w:leftChars="0" w:right="0" w:rightChars="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1130" w:type="pct"/>
            <w:noWrap w:val="0"/>
            <w:vAlign w:val="center"/>
          </w:tcPr>
          <w:p w14:paraId="08B6ED91">
            <w:pPr>
              <w:snapToGrid w:val="0"/>
              <w:ind w:left="0" w:leftChars="0" w:right="0" w:rightChars="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评分因素及权重</w:t>
            </w:r>
          </w:p>
        </w:tc>
        <w:tc>
          <w:tcPr>
            <w:tcW w:w="488" w:type="pct"/>
            <w:noWrap w:val="0"/>
            <w:vAlign w:val="center"/>
          </w:tcPr>
          <w:p w14:paraId="56FAFAFC">
            <w:pPr>
              <w:snapToGrid w:val="0"/>
              <w:ind w:left="0" w:leftChars="0" w:right="0" w:rightChars="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分值</w:t>
            </w:r>
          </w:p>
        </w:tc>
        <w:tc>
          <w:tcPr>
            <w:tcW w:w="2542" w:type="pct"/>
            <w:noWrap w:val="0"/>
            <w:vAlign w:val="center"/>
          </w:tcPr>
          <w:p w14:paraId="1BC83D68">
            <w:pPr>
              <w:keepNext w:val="0"/>
              <w:keepLines w:val="0"/>
              <w:pageBreakBefore w:val="0"/>
              <w:widowControl w:val="0"/>
              <w:kinsoku/>
              <w:wordWrap/>
              <w:overflowPunct/>
              <w:topLinePunct w:val="0"/>
              <w:autoSpaceDE/>
              <w:autoSpaceDN/>
              <w:bidi w:val="0"/>
              <w:adjustRightInd/>
              <w:snapToGrid w:val="0"/>
              <w:ind w:left="0" w:leftChars="0" w:right="0" w:rightChars="0" w:firstLine="482" w:firstLineChars="20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评分标准</w:t>
            </w:r>
          </w:p>
        </w:tc>
        <w:tc>
          <w:tcPr>
            <w:tcW w:w="379" w:type="pct"/>
            <w:noWrap w:val="0"/>
            <w:vAlign w:val="center"/>
          </w:tcPr>
          <w:p w14:paraId="6804EB3E">
            <w:pPr>
              <w:snapToGrid w:val="0"/>
              <w:ind w:left="0" w:leftChars="0" w:right="0" w:rightChars="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说明</w:t>
            </w:r>
          </w:p>
        </w:tc>
      </w:tr>
      <w:tr w14:paraId="753B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3E90F8E2">
            <w:pPr>
              <w:snapToGrid w:val="0"/>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1</w:t>
            </w:r>
          </w:p>
        </w:tc>
        <w:tc>
          <w:tcPr>
            <w:tcW w:w="1130" w:type="pct"/>
            <w:noWrap w:val="0"/>
            <w:vAlign w:val="center"/>
          </w:tcPr>
          <w:p w14:paraId="007159E2">
            <w:pPr>
              <w:snapToGrid w:val="0"/>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 xml:space="preserve">报价 </w:t>
            </w:r>
            <w:r>
              <w:rPr>
                <w:rFonts w:hint="eastAsia" w:ascii="宋体" w:hAnsi="宋体" w:cs="宋体"/>
                <w:bCs/>
                <w:sz w:val="24"/>
                <w:szCs w:val="24"/>
                <w:lang w:val="en-US" w:eastAsia="zh-CN"/>
              </w:rPr>
              <w:t>30</w:t>
            </w:r>
            <w:r>
              <w:rPr>
                <w:rFonts w:hint="eastAsia" w:ascii="宋体" w:hAnsi="宋体" w:eastAsia="宋体" w:cs="宋体"/>
                <w:bCs/>
                <w:sz w:val="24"/>
                <w:szCs w:val="24"/>
              </w:rPr>
              <w:t>%</w:t>
            </w:r>
          </w:p>
        </w:tc>
        <w:tc>
          <w:tcPr>
            <w:tcW w:w="488" w:type="pct"/>
            <w:noWrap w:val="0"/>
            <w:vAlign w:val="center"/>
          </w:tcPr>
          <w:p w14:paraId="7B7A4CD7">
            <w:pPr>
              <w:snapToGrid w:val="0"/>
              <w:ind w:left="0" w:leftChars="0" w:right="0" w:rightChars="0" w:firstLine="0" w:firstLineChars="0"/>
              <w:jc w:val="left"/>
              <w:rPr>
                <w:rFonts w:hint="eastAsia" w:ascii="宋体" w:hAnsi="宋体" w:eastAsia="宋体" w:cs="宋体"/>
                <w:bCs/>
                <w:sz w:val="24"/>
                <w:szCs w:val="24"/>
              </w:rPr>
            </w:pPr>
            <w:r>
              <w:rPr>
                <w:rFonts w:hint="eastAsia" w:ascii="宋体" w:hAnsi="宋体" w:cs="宋体"/>
                <w:bCs/>
                <w:sz w:val="24"/>
                <w:szCs w:val="24"/>
                <w:lang w:val="en-US" w:eastAsia="zh-CN"/>
              </w:rPr>
              <w:t>30</w:t>
            </w:r>
            <w:r>
              <w:rPr>
                <w:rFonts w:hint="eastAsia" w:ascii="宋体" w:hAnsi="宋体" w:eastAsia="宋体" w:cs="宋体"/>
                <w:bCs/>
                <w:sz w:val="24"/>
                <w:szCs w:val="24"/>
              </w:rPr>
              <w:t>分</w:t>
            </w:r>
          </w:p>
        </w:tc>
        <w:tc>
          <w:tcPr>
            <w:tcW w:w="2542" w:type="pct"/>
            <w:noWrap w:val="0"/>
            <w:vAlign w:val="center"/>
          </w:tcPr>
          <w:p w14:paraId="1C318D95">
            <w:pPr>
              <w:keepNext w:val="0"/>
              <w:keepLines w:val="0"/>
              <w:pageBreakBefore w:val="0"/>
              <w:widowControl w:val="0"/>
              <w:numPr>
                <w:ilvl w:val="0"/>
                <w:numId w:val="0"/>
              </w:numPr>
              <w:kinsoku/>
              <w:wordWrap/>
              <w:overflowPunct/>
              <w:topLinePunct w:val="0"/>
              <w:autoSpaceDE/>
              <w:autoSpaceDN/>
              <w:bidi w:val="0"/>
              <w:adjustRightInd/>
              <w:snapToGrid w:val="0"/>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rPr>
              <w:t>满足磋商文件要求且最后报价最低的供应商的价格为磋商基准价，其价格分为满分。其他供应商的价格分统一按照下列公式计算： 磋商报价得分=（磋商基准价/最后磋商报价）×</w:t>
            </w:r>
            <w:r>
              <w:rPr>
                <w:rFonts w:hint="eastAsia" w:ascii="宋体" w:hAnsi="宋体" w:cs="宋体"/>
                <w:sz w:val="24"/>
                <w:szCs w:val="24"/>
                <w:lang w:val="en-US" w:eastAsia="zh-CN"/>
              </w:rPr>
              <w:t>30</w:t>
            </w:r>
            <w:r>
              <w:rPr>
                <w:rFonts w:hint="eastAsia" w:ascii="宋体" w:hAnsi="宋体" w:eastAsia="宋体" w:cs="宋体"/>
                <w:sz w:val="24"/>
                <w:szCs w:val="24"/>
              </w:rPr>
              <w:t xml:space="preserve">×100。 </w:t>
            </w:r>
          </w:p>
          <w:p w14:paraId="17C18731">
            <w:pPr>
              <w:keepNext w:val="0"/>
              <w:keepLines w:val="0"/>
              <w:pageBreakBefore w:val="0"/>
              <w:widowControl w:val="0"/>
              <w:numPr>
                <w:ilvl w:val="0"/>
                <w:numId w:val="0"/>
              </w:numPr>
              <w:kinsoku/>
              <w:wordWrap/>
              <w:overflowPunct/>
              <w:topLinePunct w:val="0"/>
              <w:autoSpaceDE/>
              <w:autoSpaceDN/>
              <w:bidi w:val="0"/>
              <w:adjustRightInd/>
              <w:snapToGrid w:val="0"/>
              <w:ind w:left="0" w:leftChars="0" w:right="0" w:rightChars="0" w:firstLine="480" w:firstLineChars="200"/>
              <w:jc w:val="left"/>
              <w:textAlignment w:val="auto"/>
              <w:rPr>
                <w:rFonts w:hint="eastAsia" w:ascii="宋体" w:hAnsi="宋体" w:eastAsia="宋体" w:cs="宋体"/>
                <w:bCs/>
                <w:sz w:val="24"/>
                <w:szCs w:val="24"/>
              </w:rPr>
            </w:pPr>
            <w:r>
              <w:rPr>
                <w:rFonts w:hint="eastAsia" w:ascii="宋体" w:hAnsi="宋体" w:cs="宋体"/>
                <w:bCs/>
                <w:kern w:val="2"/>
                <w:sz w:val="24"/>
                <w:szCs w:val="24"/>
                <w:lang w:val="en-US" w:eastAsia="zh-CN" w:bidi="ar-SA"/>
              </w:rPr>
              <w:t>注：</w:t>
            </w:r>
            <w:r>
              <w:rPr>
                <w:rFonts w:hint="eastAsia" w:ascii="宋体" w:hAnsi="宋体" w:eastAsia="宋体" w:cs="宋体"/>
                <w:sz w:val="24"/>
                <w:szCs w:val="24"/>
              </w:rPr>
              <w:t>评分的取值按四舍五入法，保留小数点后两位。</w:t>
            </w:r>
          </w:p>
        </w:tc>
        <w:tc>
          <w:tcPr>
            <w:tcW w:w="379" w:type="pct"/>
            <w:noWrap w:val="0"/>
            <w:vAlign w:val="center"/>
          </w:tcPr>
          <w:p w14:paraId="41B5A1ED">
            <w:pPr>
              <w:snapToGrid w:val="0"/>
              <w:ind w:left="0" w:leftChars="0" w:right="0" w:rightChars="0" w:firstLine="0" w:firstLineChars="0"/>
              <w:jc w:val="left"/>
              <w:rPr>
                <w:rFonts w:hint="eastAsia" w:ascii="宋体" w:hAnsi="宋体" w:eastAsia="宋体" w:cs="宋体"/>
                <w:bCs/>
                <w:sz w:val="24"/>
                <w:szCs w:val="24"/>
              </w:rPr>
            </w:pPr>
          </w:p>
        </w:tc>
      </w:tr>
      <w:tr w14:paraId="6E1F9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15884C37">
            <w:pPr>
              <w:snapToGrid w:val="0"/>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1130" w:type="pct"/>
            <w:noWrap w:val="0"/>
            <w:vAlign w:val="center"/>
          </w:tcPr>
          <w:p w14:paraId="03DCC69F">
            <w:pPr>
              <w:snapToGrid w:val="0"/>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bCs/>
                <w:sz w:val="24"/>
                <w:szCs w:val="24"/>
              </w:rPr>
              <w:t>技术要求</w:t>
            </w:r>
            <w:r>
              <w:rPr>
                <w:rFonts w:hint="eastAsia" w:ascii="宋体" w:hAnsi="宋体" w:eastAsia="宋体" w:cs="宋体"/>
                <w:bCs/>
                <w:sz w:val="24"/>
                <w:szCs w:val="24"/>
                <w:lang w:val="en-US" w:eastAsia="zh-CN"/>
              </w:rPr>
              <w:t>40</w:t>
            </w:r>
            <w:r>
              <w:rPr>
                <w:rFonts w:hint="eastAsia" w:ascii="宋体" w:hAnsi="宋体" w:eastAsia="宋体" w:cs="宋体"/>
                <w:bCs/>
                <w:sz w:val="24"/>
                <w:szCs w:val="24"/>
              </w:rPr>
              <w:t>%</w:t>
            </w:r>
          </w:p>
        </w:tc>
        <w:tc>
          <w:tcPr>
            <w:tcW w:w="488" w:type="pct"/>
            <w:noWrap w:val="0"/>
            <w:vAlign w:val="center"/>
          </w:tcPr>
          <w:p w14:paraId="6D99621D">
            <w:pPr>
              <w:snapToGrid w:val="0"/>
              <w:ind w:left="0" w:leftChars="0" w:right="0" w:rightChars="0" w:firstLine="0" w:firstLineChars="0"/>
              <w:jc w:val="left"/>
              <w:rPr>
                <w:rFonts w:hint="eastAsia" w:ascii="宋体" w:hAnsi="宋体" w:eastAsia="宋体" w:cs="宋体"/>
                <w:bCs/>
                <w:sz w:val="24"/>
                <w:szCs w:val="24"/>
              </w:rPr>
            </w:pPr>
            <w:r>
              <w:rPr>
                <w:rFonts w:hint="eastAsia" w:ascii="宋体" w:hAnsi="宋体" w:eastAsia="宋体" w:cs="宋体"/>
                <w:bCs/>
                <w:sz w:val="24"/>
                <w:szCs w:val="24"/>
                <w:lang w:val="en-US" w:eastAsia="zh-CN"/>
              </w:rPr>
              <w:t>40</w:t>
            </w:r>
            <w:r>
              <w:rPr>
                <w:rFonts w:hint="eastAsia" w:ascii="宋体" w:hAnsi="宋体" w:eastAsia="宋体" w:cs="宋体"/>
                <w:bCs/>
                <w:sz w:val="24"/>
                <w:szCs w:val="24"/>
              </w:rPr>
              <w:t>分</w:t>
            </w:r>
          </w:p>
        </w:tc>
        <w:tc>
          <w:tcPr>
            <w:tcW w:w="2542" w:type="pct"/>
            <w:noWrap w:val="0"/>
            <w:vAlign w:val="center"/>
          </w:tcPr>
          <w:p w14:paraId="623833EC">
            <w:pPr>
              <w:keepNext w:val="0"/>
              <w:keepLines w:val="0"/>
              <w:pageBreakBefore w:val="0"/>
              <w:widowControl w:val="0"/>
              <w:kinsoku/>
              <w:wordWrap/>
              <w:overflowPunct/>
              <w:topLinePunct w:val="0"/>
              <w:autoSpaceDE/>
              <w:autoSpaceDN/>
              <w:bidi w:val="0"/>
              <w:adjustRightInd/>
              <w:snapToGrid w:val="0"/>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供应商完全响应磋商文件</w:t>
            </w:r>
            <w:r>
              <w:rPr>
                <w:rFonts w:hint="eastAsia" w:ascii="宋体" w:hAnsi="宋体" w:eastAsia="宋体" w:cs="宋体"/>
                <w:sz w:val="24"/>
                <w:szCs w:val="24"/>
                <w:highlight w:val="none"/>
              </w:rPr>
              <w:t>第</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rPr>
              <w:t>章</w:t>
            </w:r>
            <w:r>
              <w:rPr>
                <w:rFonts w:hint="eastAsia" w:ascii="宋体" w:hAnsi="宋体" w:cs="宋体"/>
                <w:sz w:val="24"/>
                <w:szCs w:val="24"/>
                <w:highlight w:val="none"/>
                <w:lang w:val="en-US" w:eastAsia="zh-CN"/>
              </w:rPr>
              <w:t xml:space="preserve"> </w:t>
            </w: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rPr>
              <w:t>技术服务要求</w:t>
            </w:r>
            <w:r>
              <w:rPr>
                <w:rFonts w:hint="eastAsia" w:ascii="宋体" w:hAnsi="宋体" w:cs="宋体"/>
                <w:sz w:val="24"/>
                <w:szCs w:val="24"/>
                <w:highlight w:val="none"/>
                <w:lang w:val="en-US" w:eastAsia="zh-CN"/>
              </w:rPr>
              <w:t>中带</w:t>
            </w:r>
            <w:r>
              <w:rPr>
                <w:rFonts w:hint="eastAsia" w:ascii="宋体" w:hAnsi="宋体" w:eastAsia="宋体" w:cs="宋体"/>
                <w:sz w:val="24"/>
                <w:szCs w:val="24"/>
              </w:rPr>
              <w:t>“▲”内容（共计</w:t>
            </w:r>
            <w:r>
              <w:rPr>
                <w:rFonts w:hint="eastAsia" w:ascii="宋体" w:hAnsi="宋体" w:cs="宋体"/>
                <w:sz w:val="24"/>
                <w:szCs w:val="24"/>
                <w:lang w:val="en-US" w:eastAsia="zh-CN"/>
              </w:rPr>
              <w:t>7</w:t>
            </w:r>
            <w:r>
              <w:rPr>
                <w:rFonts w:hint="eastAsia" w:ascii="宋体" w:hAnsi="宋体" w:eastAsia="宋体" w:cs="宋体"/>
                <w:sz w:val="24"/>
                <w:szCs w:val="24"/>
              </w:rPr>
              <w:t>项）得</w:t>
            </w:r>
            <w:r>
              <w:rPr>
                <w:rFonts w:hint="eastAsia" w:ascii="宋体" w:hAnsi="宋体" w:cs="宋体"/>
                <w:sz w:val="24"/>
                <w:szCs w:val="24"/>
                <w:lang w:val="en-US" w:eastAsia="zh-CN"/>
              </w:rPr>
              <w:t>14</w:t>
            </w:r>
            <w:r>
              <w:rPr>
                <w:rFonts w:hint="eastAsia" w:ascii="宋体" w:hAnsi="宋体" w:eastAsia="宋体" w:cs="宋体"/>
                <w:sz w:val="24"/>
                <w:szCs w:val="24"/>
              </w:rPr>
              <w:t>分，每有一项“▲”内容（共计</w:t>
            </w:r>
            <w:r>
              <w:rPr>
                <w:rFonts w:hint="eastAsia" w:ascii="宋体" w:hAnsi="宋体" w:cs="宋体"/>
                <w:sz w:val="24"/>
                <w:szCs w:val="24"/>
                <w:lang w:val="en-US" w:eastAsia="zh-CN"/>
              </w:rPr>
              <w:t>7</w:t>
            </w:r>
            <w:r>
              <w:rPr>
                <w:rFonts w:hint="eastAsia" w:ascii="宋体" w:hAnsi="宋体" w:eastAsia="宋体" w:cs="宋体"/>
                <w:sz w:val="24"/>
                <w:szCs w:val="24"/>
              </w:rPr>
              <w:t>项）不满足要求扣</w:t>
            </w:r>
            <w:r>
              <w:rPr>
                <w:rFonts w:hint="eastAsia" w:ascii="宋体" w:hAnsi="宋体" w:cs="宋体"/>
                <w:sz w:val="24"/>
                <w:szCs w:val="24"/>
                <w:lang w:val="en-US" w:eastAsia="zh-CN"/>
              </w:rPr>
              <w:t>2</w:t>
            </w:r>
            <w:r>
              <w:rPr>
                <w:rFonts w:hint="eastAsia" w:ascii="宋体" w:hAnsi="宋体" w:eastAsia="宋体" w:cs="宋体"/>
                <w:sz w:val="24"/>
                <w:szCs w:val="24"/>
              </w:rPr>
              <w:t>分，每有一项非“▲”内容（共计</w:t>
            </w:r>
            <w:r>
              <w:rPr>
                <w:rFonts w:hint="eastAsia" w:ascii="宋体" w:hAnsi="宋体" w:cs="宋体"/>
                <w:sz w:val="24"/>
                <w:szCs w:val="24"/>
                <w:lang w:val="en-US" w:eastAsia="zh-CN"/>
              </w:rPr>
              <w:t>67</w:t>
            </w:r>
            <w:r>
              <w:rPr>
                <w:rFonts w:hint="eastAsia" w:ascii="宋体" w:hAnsi="宋体" w:eastAsia="宋体" w:cs="宋体"/>
                <w:sz w:val="24"/>
                <w:szCs w:val="24"/>
              </w:rPr>
              <w:t>项）不满足要求扣0.</w:t>
            </w:r>
            <w:r>
              <w:rPr>
                <w:rFonts w:hint="eastAsia" w:ascii="宋体" w:hAnsi="宋体" w:eastAsia="宋体" w:cs="宋体"/>
                <w:sz w:val="24"/>
                <w:szCs w:val="24"/>
                <w:lang w:val="en-US" w:eastAsia="zh-CN"/>
              </w:rPr>
              <w:t>3</w:t>
            </w:r>
            <w:r>
              <w:rPr>
                <w:rFonts w:hint="eastAsia" w:ascii="宋体" w:hAnsi="宋体" w:cs="宋体"/>
                <w:sz w:val="24"/>
                <w:szCs w:val="24"/>
                <w:lang w:val="en-US" w:eastAsia="zh-CN"/>
              </w:rPr>
              <w:t>9</w:t>
            </w:r>
            <w:r>
              <w:rPr>
                <w:rFonts w:hint="eastAsia" w:ascii="宋体" w:hAnsi="宋体" w:eastAsia="宋体" w:cs="宋体"/>
                <w:sz w:val="24"/>
                <w:szCs w:val="24"/>
              </w:rPr>
              <w:t>分，扣完为止。 注：</w:t>
            </w:r>
            <w:r>
              <w:rPr>
                <w:rFonts w:hint="eastAsia" w:ascii="宋体" w:hAnsi="宋体" w:cs="宋体"/>
                <w:sz w:val="24"/>
                <w:szCs w:val="24"/>
                <w:lang w:val="en-US" w:eastAsia="zh-CN"/>
              </w:rPr>
              <w:t>1.</w:t>
            </w:r>
            <w:r>
              <w:rPr>
                <w:rFonts w:hint="eastAsia" w:ascii="宋体" w:hAnsi="宋体" w:eastAsia="宋体" w:cs="宋体"/>
                <w:sz w:val="24"/>
                <w:szCs w:val="24"/>
              </w:rPr>
              <w:t xml:space="preserve">标注“▲”号参数按技术参数表中要求提供相关材料的，供应商应提供相关证明材料加盖供应商鲜章，未提供的视为不满足，将影响得分。 </w:t>
            </w:r>
            <w:r>
              <w:rPr>
                <w:rFonts w:hint="eastAsia" w:ascii="宋体" w:hAnsi="宋体" w:cs="宋体"/>
                <w:sz w:val="24"/>
                <w:szCs w:val="24"/>
                <w:lang w:val="en-US" w:eastAsia="zh-CN"/>
              </w:rPr>
              <w:t>2</w:t>
            </w:r>
            <w:r>
              <w:rPr>
                <w:rFonts w:hint="eastAsia" w:ascii="宋体" w:hAnsi="宋体" w:eastAsia="宋体" w:cs="宋体"/>
                <w:sz w:val="24"/>
                <w:szCs w:val="24"/>
              </w:rPr>
              <w:t>.参数中带“★”号的参数为实质性要求，按技术参数表中要求提供相关证明材料予以佐证，不提供将视为无效投标处理，不作为本项评分项。</w:t>
            </w:r>
          </w:p>
        </w:tc>
        <w:tc>
          <w:tcPr>
            <w:tcW w:w="379" w:type="pct"/>
            <w:noWrap w:val="0"/>
            <w:vAlign w:val="center"/>
          </w:tcPr>
          <w:p w14:paraId="017DFCAC">
            <w:pPr>
              <w:snapToGrid w:val="0"/>
              <w:ind w:left="0" w:leftChars="0" w:right="0" w:rightChars="0" w:firstLine="0" w:firstLineChars="0"/>
              <w:jc w:val="left"/>
              <w:rPr>
                <w:rFonts w:hint="eastAsia" w:ascii="宋体" w:hAnsi="宋体" w:eastAsia="宋体" w:cs="宋体"/>
                <w:bCs/>
                <w:sz w:val="24"/>
                <w:szCs w:val="24"/>
              </w:rPr>
            </w:pPr>
          </w:p>
        </w:tc>
      </w:tr>
      <w:tr w14:paraId="486B8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198E6EB9">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c>
          <w:tcPr>
            <w:tcW w:w="1130" w:type="pct"/>
            <w:noWrap w:val="0"/>
            <w:vAlign w:val="center"/>
          </w:tcPr>
          <w:p w14:paraId="1FB4EF62">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rPr>
              <w:t>项目技术方案、实施方案、培训方案</w:t>
            </w:r>
          </w:p>
          <w:p w14:paraId="0038A3C1">
            <w:pPr>
              <w:snapToGrid w:val="0"/>
              <w:ind w:left="0" w:leftChars="0" w:right="0" w:rightChars="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18</w:t>
            </w:r>
            <w:r>
              <w:rPr>
                <w:rFonts w:hint="eastAsia" w:ascii="宋体" w:hAnsi="宋体" w:eastAsia="宋体" w:cs="宋体"/>
                <w:sz w:val="24"/>
                <w:szCs w:val="24"/>
              </w:rPr>
              <w:t>%</w:t>
            </w:r>
          </w:p>
        </w:tc>
        <w:tc>
          <w:tcPr>
            <w:tcW w:w="488" w:type="pct"/>
            <w:noWrap w:val="0"/>
            <w:vAlign w:val="center"/>
          </w:tcPr>
          <w:p w14:paraId="07FD6920">
            <w:pPr>
              <w:adjustRightInd w:val="0"/>
              <w:snapToGrid w:val="0"/>
              <w:ind w:left="0" w:leftChars="0" w:right="0" w:rightChars="0" w:firstLine="0" w:firstLineChars="0"/>
              <w:jc w:val="left"/>
              <w:rPr>
                <w:rFonts w:hint="eastAsia" w:ascii="宋体" w:hAnsi="宋体" w:eastAsia="宋体" w:cs="宋体"/>
                <w:bCs/>
                <w:sz w:val="24"/>
                <w:szCs w:val="24"/>
              </w:rPr>
            </w:pPr>
            <w:r>
              <w:rPr>
                <w:rFonts w:hint="eastAsia" w:ascii="宋体" w:hAnsi="宋体" w:eastAsia="宋体" w:cs="宋体"/>
                <w:sz w:val="24"/>
                <w:szCs w:val="24"/>
                <w:lang w:val="en-US" w:eastAsia="zh-CN"/>
              </w:rPr>
              <w:t>18</w:t>
            </w:r>
            <w:r>
              <w:rPr>
                <w:rFonts w:hint="eastAsia" w:ascii="宋体" w:hAnsi="宋体" w:eastAsia="宋体" w:cs="宋体"/>
                <w:sz w:val="24"/>
                <w:szCs w:val="24"/>
              </w:rPr>
              <w:t>分</w:t>
            </w:r>
          </w:p>
        </w:tc>
        <w:tc>
          <w:tcPr>
            <w:tcW w:w="2542" w:type="pct"/>
            <w:noWrap w:val="0"/>
            <w:vAlign w:val="center"/>
          </w:tcPr>
          <w:p w14:paraId="3502BC92">
            <w:pPr>
              <w:keepNext w:val="0"/>
              <w:keepLines w:val="0"/>
              <w:pageBreakBefore w:val="0"/>
              <w:widowControl w:val="0"/>
              <w:numPr>
                <w:ilvl w:val="0"/>
                <w:numId w:val="2"/>
              </w:numPr>
              <w:kinsoku/>
              <w:wordWrap/>
              <w:overflowPunct/>
              <w:topLinePunct w:val="0"/>
              <w:autoSpaceDE/>
              <w:autoSpaceDN/>
              <w:bidi w:val="0"/>
              <w:adjustRightInd/>
              <w:snapToGrid w:val="0"/>
              <w:spacing w:after="160"/>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w:t>
            </w:r>
            <w:r>
              <w:rPr>
                <w:rFonts w:hint="eastAsia" w:ascii="宋体" w:hAnsi="宋体" w:cs="宋体"/>
                <w:sz w:val="24"/>
                <w:szCs w:val="24"/>
                <w:lang w:val="en-US" w:eastAsia="zh-CN"/>
              </w:rPr>
              <w:t>供应商</w:t>
            </w:r>
            <w:r>
              <w:rPr>
                <w:rFonts w:hint="eastAsia" w:ascii="宋体" w:hAnsi="宋体" w:eastAsia="宋体" w:cs="宋体"/>
                <w:sz w:val="24"/>
                <w:szCs w:val="24"/>
              </w:rPr>
              <w:t>提供的技术方案进行打分：①针对本项目现状及问题分别进行阐述；②能提出本项目总体关键性技术问题并提供解决方案。全部提供得1分（缺项不得分），在此基础上，方案存在缺陷或漏洞的，每有一项扣0.5分，扣完为止。</w:t>
            </w:r>
          </w:p>
          <w:p w14:paraId="3DCE53B0">
            <w:pPr>
              <w:keepNext w:val="0"/>
              <w:keepLines w:val="0"/>
              <w:pageBreakBefore w:val="0"/>
              <w:widowControl w:val="0"/>
              <w:kinsoku/>
              <w:wordWrap/>
              <w:overflowPunct/>
              <w:topLinePunct w:val="0"/>
              <w:autoSpaceDE/>
              <w:autoSpaceDN/>
              <w:bidi w:val="0"/>
              <w:adjustRightInd/>
              <w:snapToGrid w:val="0"/>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2、根据</w:t>
            </w:r>
            <w:r>
              <w:rPr>
                <w:rFonts w:hint="eastAsia" w:ascii="宋体" w:hAnsi="宋体" w:cs="宋体"/>
                <w:sz w:val="24"/>
                <w:szCs w:val="24"/>
                <w:lang w:val="en-US" w:eastAsia="zh-CN"/>
              </w:rPr>
              <w:t>供应商</w:t>
            </w:r>
            <w:r>
              <w:rPr>
                <w:rFonts w:hint="eastAsia" w:ascii="宋体" w:hAnsi="宋体" w:eastAsia="宋体" w:cs="宋体"/>
                <w:sz w:val="24"/>
                <w:szCs w:val="24"/>
              </w:rPr>
              <w:t>提供的项目实施方案进行打分，包含人员职责、组织管理、质量保证措施、项目实施方法、计划和进度安排、工期保证措施、验收资料、重点环节、验收进度、应急预案，全部提供得1分（缺项不得分），在此基础上，方案存在缺陷或漏洞的，每有一项扣0.1分，扣完为止。</w:t>
            </w:r>
          </w:p>
          <w:p w14:paraId="298EB553">
            <w:pPr>
              <w:keepNext w:val="0"/>
              <w:keepLines w:val="0"/>
              <w:pageBreakBefore w:val="0"/>
              <w:widowControl w:val="0"/>
              <w:kinsoku/>
              <w:wordWrap/>
              <w:overflowPunct/>
              <w:topLinePunct w:val="0"/>
              <w:autoSpaceDE/>
              <w:autoSpaceDN/>
              <w:bidi w:val="0"/>
              <w:adjustRightInd/>
              <w:snapToGrid w:val="0"/>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3、根据</w:t>
            </w:r>
            <w:r>
              <w:rPr>
                <w:rFonts w:hint="eastAsia" w:ascii="宋体" w:hAnsi="宋体" w:cs="宋体"/>
                <w:sz w:val="24"/>
                <w:szCs w:val="24"/>
                <w:lang w:val="en-US" w:eastAsia="zh-CN"/>
              </w:rPr>
              <w:t>供应商</w:t>
            </w:r>
            <w:r>
              <w:rPr>
                <w:rFonts w:hint="eastAsia" w:ascii="宋体" w:hAnsi="宋体" w:eastAsia="宋体" w:cs="宋体"/>
                <w:sz w:val="24"/>
                <w:szCs w:val="24"/>
              </w:rPr>
              <w:t>提供的项目培训方案、培训计划、培训安排、人员安排进行打分，全部提供得1分（缺项不得分），在此基础上，方案存在缺陷或漏洞的，每有一项扣0.25分，扣完为止。</w:t>
            </w:r>
          </w:p>
          <w:p w14:paraId="6C1F68DB">
            <w:pPr>
              <w:pStyle w:val="4"/>
              <w:ind w:firstLine="480" w:firstLineChars="200"/>
              <w:rPr>
                <w:rFonts w:hint="eastAsia"/>
              </w:rPr>
            </w:pPr>
            <w:r>
              <w:rPr>
                <w:rFonts w:hint="eastAsia" w:ascii="宋体" w:hAnsi="宋体" w:eastAsia="宋体" w:cs="宋体"/>
                <w:kern w:val="2"/>
                <w:sz w:val="24"/>
                <w:szCs w:val="24"/>
                <w:lang w:val="en-US" w:eastAsia="zh-CN" w:bidi="ar-SA"/>
              </w:rPr>
              <w:t>注：上述所称存在缺陷或</w:t>
            </w:r>
            <w:r>
              <w:rPr>
                <w:rFonts w:hint="eastAsia" w:ascii="宋体" w:hAnsi="宋体" w:eastAsia="宋体" w:cs="宋体"/>
                <w:sz w:val="24"/>
                <w:szCs w:val="24"/>
              </w:rPr>
              <w:t>漏洞</w:t>
            </w:r>
            <w:r>
              <w:rPr>
                <w:rFonts w:hint="eastAsia" w:ascii="宋体" w:hAnsi="宋体" w:eastAsia="宋体" w:cs="宋体"/>
                <w:kern w:val="2"/>
                <w:sz w:val="24"/>
                <w:szCs w:val="24"/>
                <w:lang w:val="en-US" w:eastAsia="zh-CN" w:bidi="ar-SA"/>
              </w:rPr>
              <w:t>是指：①不满足法律法规或行业技术规范；②不满足磋商文件的相关需求；③方案内容明显的交叉混乱；④方案仅有大纲无具体内容；⑤内容不符合逻辑、与本项目无关。</w:t>
            </w:r>
          </w:p>
        </w:tc>
        <w:tc>
          <w:tcPr>
            <w:tcW w:w="379" w:type="pct"/>
            <w:noWrap w:val="0"/>
            <w:vAlign w:val="center"/>
          </w:tcPr>
          <w:p w14:paraId="2ADC59FE">
            <w:pPr>
              <w:pStyle w:val="4"/>
              <w:tabs>
                <w:tab w:val="left" w:pos="600"/>
              </w:tabs>
              <w:adjustRightInd w:val="0"/>
              <w:snapToGrid w:val="0"/>
              <w:spacing w:after="0" w:line="240" w:lineRule="auto"/>
              <w:ind w:left="0" w:leftChars="0" w:right="0" w:rightChars="0" w:firstLine="0" w:firstLineChars="0"/>
              <w:jc w:val="left"/>
              <w:rPr>
                <w:rFonts w:hint="eastAsia" w:ascii="宋体" w:hAnsi="宋体" w:eastAsia="宋体" w:cs="宋体"/>
                <w:bCs/>
                <w:sz w:val="24"/>
                <w:szCs w:val="24"/>
              </w:rPr>
            </w:pPr>
          </w:p>
        </w:tc>
      </w:tr>
      <w:tr w14:paraId="6612A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60F07AFD">
            <w:pPr>
              <w:snapToGrid w:val="0"/>
              <w:ind w:left="0" w:leftChars="0" w:right="0" w:rightChars="0" w:firstLine="0" w:firstLineChars="0"/>
              <w:jc w:val="center"/>
              <w:rPr>
                <w:rFonts w:hint="eastAsia" w:ascii="宋体" w:hAnsi="宋体" w:eastAsia="宋体" w:cs="宋体"/>
                <w:bCs/>
                <w:sz w:val="24"/>
                <w:szCs w:val="24"/>
                <w:lang w:eastAsia="zh-CN"/>
              </w:rPr>
            </w:pPr>
            <w:r>
              <w:rPr>
                <w:rFonts w:hint="eastAsia" w:ascii="宋体" w:hAnsi="宋体" w:cs="宋体"/>
                <w:bCs/>
                <w:sz w:val="24"/>
                <w:szCs w:val="24"/>
                <w:lang w:val="en-US" w:eastAsia="zh-CN"/>
              </w:rPr>
              <w:t>4</w:t>
            </w:r>
          </w:p>
        </w:tc>
        <w:tc>
          <w:tcPr>
            <w:tcW w:w="1130" w:type="pct"/>
            <w:noWrap w:val="0"/>
            <w:vAlign w:val="center"/>
          </w:tcPr>
          <w:p w14:paraId="30D62BB6">
            <w:pPr>
              <w:pStyle w:val="4"/>
              <w:tabs>
                <w:tab w:val="left" w:pos="600"/>
              </w:tabs>
              <w:snapToGrid w:val="0"/>
              <w:spacing w:line="240" w:lineRule="auto"/>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sz w:val="24"/>
                <w:szCs w:val="24"/>
              </w:rPr>
              <w:t>履约能力</w:t>
            </w:r>
            <w:r>
              <w:rPr>
                <w:rFonts w:hint="eastAsia" w:ascii="宋体" w:hAnsi="宋体" w:cs="宋体"/>
                <w:sz w:val="24"/>
                <w:szCs w:val="24"/>
                <w:lang w:val="en-US" w:eastAsia="zh-CN"/>
              </w:rPr>
              <w:t>5</w:t>
            </w:r>
            <w:r>
              <w:rPr>
                <w:rFonts w:hint="eastAsia" w:ascii="宋体" w:hAnsi="宋体" w:eastAsia="宋体" w:cs="宋体"/>
                <w:sz w:val="24"/>
                <w:szCs w:val="24"/>
              </w:rPr>
              <w:t>%</w:t>
            </w:r>
          </w:p>
        </w:tc>
        <w:tc>
          <w:tcPr>
            <w:tcW w:w="488" w:type="pct"/>
            <w:noWrap w:val="0"/>
            <w:vAlign w:val="center"/>
          </w:tcPr>
          <w:p w14:paraId="4935CA4C">
            <w:pPr>
              <w:snapToGrid w:val="0"/>
              <w:ind w:left="0" w:leftChars="0" w:right="0" w:rightChars="0" w:firstLine="0" w:firstLineChars="0"/>
              <w:jc w:val="left"/>
              <w:rPr>
                <w:rFonts w:hint="eastAsia" w:ascii="宋体" w:hAnsi="宋体" w:eastAsia="宋体" w:cs="宋体"/>
                <w:bCs/>
                <w:sz w:val="24"/>
                <w:szCs w:val="24"/>
                <w:lang w:eastAsia="zh-CN"/>
              </w:rPr>
            </w:pP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2542" w:type="pct"/>
            <w:noWrap w:val="0"/>
            <w:vAlign w:val="center"/>
          </w:tcPr>
          <w:p w14:paraId="3B9F0FAA">
            <w:pPr>
              <w:pStyle w:val="4"/>
              <w:keepNext w:val="0"/>
              <w:keepLines w:val="0"/>
              <w:pageBreakBefore w:val="0"/>
              <w:widowControl w:val="0"/>
              <w:tabs>
                <w:tab w:val="left" w:pos="600"/>
              </w:tabs>
              <w:kinsoku/>
              <w:wordWrap/>
              <w:overflowPunct/>
              <w:topLinePunct w:val="0"/>
              <w:autoSpaceDE/>
              <w:autoSpaceDN/>
              <w:bidi w:val="0"/>
              <w:adjustRightInd/>
              <w:snapToGrid w:val="0"/>
              <w:spacing w:after="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针对2023年1月1日(含)以来</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rPr>
              <w:t>具有的医院急诊临床信息管理系统类似案例，每具有一个不同用户案例得</w:t>
            </w:r>
            <w:r>
              <w:rPr>
                <w:rFonts w:hint="eastAsia" w:ascii="宋体" w:hAnsi="宋体" w:cs="宋体"/>
                <w:color w:val="000000"/>
                <w:sz w:val="24"/>
                <w:szCs w:val="24"/>
                <w:lang w:val="en-US" w:eastAsia="zh-CN"/>
              </w:rPr>
              <w:t>2.5</w:t>
            </w:r>
            <w:r>
              <w:rPr>
                <w:rFonts w:hint="eastAsia" w:ascii="宋体" w:hAnsi="宋体" w:eastAsia="宋体" w:cs="宋体"/>
                <w:color w:val="000000"/>
                <w:sz w:val="24"/>
                <w:szCs w:val="24"/>
              </w:rPr>
              <w:t>分，最高得</w:t>
            </w:r>
            <w:r>
              <w:rPr>
                <w:rFonts w:hint="eastAsia" w:ascii="宋体" w:hAnsi="宋体" w:cs="宋体"/>
                <w:color w:val="000000"/>
                <w:sz w:val="24"/>
                <w:szCs w:val="24"/>
                <w:lang w:val="en-US" w:eastAsia="zh-CN"/>
              </w:rPr>
              <w:t>5</w:t>
            </w:r>
            <w:r>
              <w:rPr>
                <w:rFonts w:hint="eastAsia" w:ascii="宋体" w:hAnsi="宋体" w:eastAsia="宋体" w:cs="宋体"/>
                <w:color w:val="000000"/>
                <w:sz w:val="24"/>
                <w:szCs w:val="24"/>
              </w:rPr>
              <w:t>分，未提供不得分。</w:t>
            </w:r>
          </w:p>
          <w:p w14:paraId="48CD9450">
            <w:pPr>
              <w:pStyle w:val="4"/>
              <w:keepNext w:val="0"/>
              <w:keepLines w:val="0"/>
              <w:pageBreakBefore w:val="0"/>
              <w:widowControl w:val="0"/>
              <w:tabs>
                <w:tab w:val="left" w:pos="600"/>
              </w:tabs>
              <w:kinsoku/>
              <w:wordWrap/>
              <w:overflowPunct/>
              <w:topLinePunct w:val="0"/>
              <w:autoSpaceDE/>
              <w:autoSpaceDN/>
              <w:bidi w:val="0"/>
              <w:adjustRightInd/>
              <w:snapToGrid w:val="0"/>
              <w:spacing w:after="0" w:line="240" w:lineRule="auto"/>
              <w:ind w:left="0" w:leftChars="0" w:right="0" w:rightChars="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注:提供合同复印件或者项目验收报告(加盖鲜章)。</w:t>
            </w:r>
          </w:p>
        </w:tc>
        <w:tc>
          <w:tcPr>
            <w:tcW w:w="379" w:type="pct"/>
            <w:noWrap w:val="0"/>
            <w:vAlign w:val="center"/>
          </w:tcPr>
          <w:p w14:paraId="0C769745">
            <w:pPr>
              <w:pStyle w:val="4"/>
              <w:tabs>
                <w:tab w:val="left" w:pos="600"/>
              </w:tabs>
              <w:snapToGrid w:val="0"/>
              <w:spacing w:after="0" w:line="240" w:lineRule="auto"/>
              <w:ind w:left="0" w:leftChars="0" w:right="0" w:rightChars="0" w:firstLine="0" w:firstLineChars="0"/>
              <w:jc w:val="left"/>
              <w:rPr>
                <w:rFonts w:hint="eastAsia" w:ascii="宋体" w:hAnsi="宋体" w:eastAsia="宋体" w:cs="宋体"/>
                <w:bCs/>
                <w:sz w:val="24"/>
                <w:szCs w:val="24"/>
              </w:rPr>
            </w:pPr>
          </w:p>
        </w:tc>
      </w:tr>
      <w:tr w14:paraId="3AAA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6536BC15">
            <w:pPr>
              <w:snapToGrid w:val="0"/>
              <w:ind w:left="0" w:leftChars="0" w:right="0" w:rightChars="0" w:firstLine="0" w:firstLineChars="0"/>
              <w:jc w:val="center"/>
              <w:rPr>
                <w:rFonts w:hint="eastAsia" w:ascii="宋体" w:hAnsi="宋体" w:eastAsia="宋体" w:cs="宋体"/>
                <w:bCs/>
                <w:sz w:val="24"/>
                <w:szCs w:val="24"/>
                <w:lang w:eastAsia="zh-CN"/>
              </w:rPr>
            </w:pPr>
            <w:r>
              <w:rPr>
                <w:rFonts w:hint="eastAsia" w:ascii="宋体" w:hAnsi="宋体" w:cs="宋体"/>
                <w:bCs/>
                <w:sz w:val="24"/>
                <w:szCs w:val="24"/>
                <w:lang w:val="en-US" w:eastAsia="zh-CN"/>
              </w:rPr>
              <w:t>5</w:t>
            </w:r>
          </w:p>
        </w:tc>
        <w:tc>
          <w:tcPr>
            <w:tcW w:w="1130" w:type="pct"/>
            <w:noWrap w:val="0"/>
            <w:vAlign w:val="center"/>
          </w:tcPr>
          <w:p w14:paraId="678AEF24">
            <w:pPr>
              <w:pStyle w:val="4"/>
              <w:tabs>
                <w:tab w:val="left" w:pos="600"/>
              </w:tabs>
              <w:adjustRightInd w:val="0"/>
              <w:snapToGrid w:val="0"/>
              <w:spacing w:line="240" w:lineRule="auto"/>
              <w:ind w:left="0" w:leftChars="0" w:right="0" w:rightChars="0" w:firstLine="0" w:firstLineChars="0"/>
              <w:jc w:val="center"/>
              <w:rPr>
                <w:rFonts w:hint="eastAsia" w:ascii="宋体" w:hAnsi="宋体" w:eastAsia="宋体" w:cs="宋体"/>
                <w:bCs/>
                <w:sz w:val="24"/>
                <w:szCs w:val="24"/>
              </w:rPr>
            </w:pPr>
            <w:r>
              <w:rPr>
                <w:rFonts w:hint="eastAsia" w:ascii="宋体" w:hAnsi="宋体" w:eastAsia="宋体" w:cs="宋体"/>
                <w:sz w:val="24"/>
                <w:szCs w:val="24"/>
              </w:rPr>
              <w:t>售后服务方案</w:t>
            </w:r>
            <w:r>
              <w:rPr>
                <w:rFonts w:hint="eastAsia" w:ascii="宋体" w:hAnsi="宋体" w:cs="宋体"/>
                <w:sz w:val="24"/>
                <w:szCs w:val="24"/>
                <w:lang w:val="en-US" w:eastAsia="zh-CN"/>
              </w:rPr>
              <w:t>5</w:t>
            </w:r>
            <w:r>
              <w:rPr>
                <w:rFonts w:hint="eastAsia" w:ascii="宋体" w:hAnsi="宋体" w:eastAsia="宋体" w:cs="宋体"/>
                <w:sz w:val="24"/>
                <w:szCs w:val="24"/>
              </w:rPr>
              <w:t>%</w:t>
            </w:r>
          </w:p>
        </w:tc>
        <w:tc>
          <w:tcPr>
            <w:tcW w:w="488" w:type="pct"/>
            <w:noWrap w:val="0"/>
            <w:vAlign w:val="center"/>
          </w:tcPr>
          <w:p w14:paraId="6EF08E29">
            <w:pPr>
              <w:adjustRightInd w:val="0"/>
              <w:snapToGrid w:val="0"/>
              <w:ind w:left="0" w:leftChars="0" w:right="0" w:rightChars="0" w:firstLine="0" w:firstLineChars="0"/>
              <w:jc w:val="left"/>
              <w:rPr>
                <w:rFonts w:hint="eastAsia" w:ascii="宋体" w:hAnsi="宋体" w:eastAsia="宋体" w:cs="宋体"/>
                <w:bCs/>
                <w:sz w:val="24"/>
                <w:szCs w:val="24"/>
              </w:rPr>
            </w:pP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2542" w:type="pct"/>
            <w:noWrap w:val="0"/>
            <w:vAlign w:val="center"/>
          </w:tcPr>
          <w:p w14:paraId="7FD18B37">
            <w:pPr>
              <w:pStyle w:val="4"/>
              <w:keepNext w:val="0"/>
              <w:keepLines w:val="0"/>
              <w:pageBreakBefore w:val="0"/>
              <w:widowControl w:val="0"/>
              <w:tabs>
                <w:tab w:val="left" w:pos="600"/>
              </w:tabs>
              <w:kinsoku/>
              <w:wordWrap/>
              <w:overflowPunct/>
              <w:topLinePunct w:val="0"/>
              <w:autoSpaceDE/>
              <w:autoSpaceDN/>
              <w:bidi w:val="0"/>
              <w:adjustRightInd/>
              <w:snapToGrid w:val="0"/>
              <w:spacing w:after="0" w:line="240" w:lineRule="auto"/>
              <w:ind w:left="0" w:leftChars="0" w:right="0" w:righ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供应商根据本项目实际情况提供售后服务方案，方案包含：①售后服务承诺；②服务方式；③服务流程；④服务响应时间；⑤服务保障。每提供1项方案得</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rPr>
              <w:t>分，最多得</w:t>
            </w:r>
            <w:r>
              <w:rPr>
                <w:rFonts w:hint="eastAsia" w:ascii="宋体" w:hAnsi="宋体" w:cs="宋体"/>
                <w:color w:val="000000"/>
                <w:sz w:val="24"/>
                <w:szCs w:val="24"/>
                <w:lang w:val="en-US" w:eastAsia="zh-CN"/>
              </w:rPr>
              <w:t>5</w:t>
            </w:r>
            <w:r>
              <w:rPr>
                <w:rFonts w:hint="eastAsia" w:ascii="宋体" w:hAnsi="宋体" w:eastAsia="宋体" w:cs="宋体"/>
                <w:color w:val="000000"/>
                <w:sz w:val="24"/>
                <w:szCs w:val="24"/>
              </w:rPr>
              <w:t>分，不提供不得分。其中每项方案有重大缺陷（重大缺陷指方案有违反现行法律法规的情形或仅有标题无响应内容）的，1项扣</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rPr>
              <w:t>分，扣完为止。每项存在如下4点一般缺陷的，每1点扣0.5分，扣完为止。一般缺陷指方案表述中存在与本项目无关的其他行业、其他区域地点、其他项目或前后内容相互矛盾。</w:t>
            </w:r>
          </w:p>
        </w:tc>
        <w:tc>
          <w:tcPr>
            <w:tcW w:w="379" w:type="pct"/>
            <w:noWrap w:val="0"/>
            <w:vAlign w:val="center"/>
          </w:tcPr>
          <w:p w14:paraId="14241DDD">
            <w:pPr>
              <w:pStyle w:val="4"/>
              <w:tabs>
                <w:tab w:val="left" w:pos="600"/>
              </w:tabs>
              <w:adjustRightInd w:val="0"/>
              <w:snapToGrid w:val="0"/>
              <w:spacing w:after="0" w:line="240" w:lineRule="auto"/>
              <w:ind w:left="0" w:leftChars="0" w:right="0" w:rightChars="0" w:firstLine="0" w:firstLineChars="0"/>
              <w:jc w:val="left"/>
              <w:rPr>
                <w:rFonts w:hint="eastAsia" w:ascii="宋体" w:hAnsi="宋体" w:eastAsia="宋体" w:cs="宋体"/>
                <w:bCs/>
                <w:sz w:val="24"/>
                <w:szCs w:val="24"/>
              </w:rPr>
            </w:pPr>
          </w:p>
        </w:tc>
      </w:tr>
      <w:tr w14:paraId="26CC2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9" w:type="pct"/>
            <w:noWrap w:val="0"/>
            <w:vAlign w:val="center"/>
          </w:tcPr>
          <w:p w14:paraId="447674DB">
            <w:pPr>
              <w:snapToGrid w:val="0"/>
              <w:ind w:left="0" w:leftChars="0" w:right="0" w:rightChars="0" w:firstLine="0" w:firstLineChars="0"/>
              <w:jc w:val="center"/>
              <w:rPr>
                <w:rFonts w:hint="eastAsia" w:ascii="宋体" w:hAnsi="宋体" w:eastAsia="宋体" w:cs="宋体"/>
                <w:bCs/>
                <w:sz w:val="24"/>
                <w:szCs w:val="24"/>
                <w:lang w:eastAsia="zh-CN"/>
              </w:rPr>
            </w:pPr>
            <w:r>
              <w:rPr>
                <w:rFonts w:hint="eastAsia" w:ascii="宋体" w:hAnsi="宋体" w:cs="宋体"/>
                <w:bCs/>
                <w:sz w:val="24"/>
                <w:szCs w:val="24"/>
                <w:lang w:val="en-US" w:eastAsia="zh-CN"/>
              </w:rPr>
              <w:t>6</w:t>
            </w:r>
          </w:p>
        </w:tc>
        <w:tc>
          <w:tcPr>
            <w:tcW w:w="1130" w:type="pct"/>
            <w:noWrap w:val="0"/>
            <w:vAlign w:val="center"/>
          </w:tcPr>
          <w:p w14:paraId="70C8BA57">
            <w:pPr>
              <w:snapToGrid w:val="0"/>
              <w:ind w:left="0" w:leftChars="0" w:right="0" w:rightChars="0" w:firstLine="0" w:firstLineChars="0"/>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系统应急方案</w:t>
            </w:r>
            <w:r>
              <w:rPr>
                <w:rFonts w:hint="eastAsia" w:ascii="宋体" w:hAnsi="宋体" w:cs="宋体"/>
                <w:color w:val="000000"/>
                <w:kern w:val="2"/>
                <w:sz w:val="24"/>
                <w:szCs w:val="24"/>
                <w:lang w:val="en-US" w:eastAsia="zh-CN" w:bidi="ar-SA"/>
              </w:rPr>
              <w:t>2</w:t>
            </w:r>
            <w:r>
              <w:rPr>
                <w:rFonts w:hint="eastAsia" w:ascii="宋体" w:hAnsi="宋体" w:eastAsia="宋体" w:cs="宋体"/>
                <w:color w:val="000000"/>
                <w:kern w:val="2"/>
                <w:sz w:val="24"/>
                <w:szCs w:val="24"/>
                <w:lang w:val="en-US" w:eastAsia="zh-CN" w:bidi="ar-SA"/>
              </w:rPr>
              <w:t>%</w:t>
            </w:r>
          </w:p>
        </w:tc>
        <w:tc>
          <w:tcPr>
            <w:tcW w:w="488" w:type="pct"/>
            <w:noWrap w:val="0"/>
            <w:vAlign w:val="center"/>
          </w:tcPr>
          <w:p w14:paraId="17374930">
            <w:pPr>
              <w:snapToGrid w:val="0"/>
              <w:ind w:left="0" w:leftChars="0" w:right="0" w:rightChars="0" w:firstLine="0" w:firstLineChars="0"/>
              <w:jc w:val="left"/>
              <w:rPr>
                <w:rFonts w:hint="eastAsia" w:ascii="宋体" w:hAnsi="宋体" w:eastAsia="宋体" w:cs="宋体"/>
                <w:color w:val="000000"/>
                <w:kern w:val="2"/>
                <w:sz w:val="24"/>
                <w:szCs w:val="24"/>
                <w:lang w:val="en-US" w:eastAsia="zh-CN" w:bidi="ar-SA"/>
              </w:rPr>
            </w:pPr>
            <w:r>
              <w:rPr>
                <w:rFonts w:hint="eastAsia" w:ascii="宋体" w:hAnsi="宋体" w:cs="宋体"/>
                <w:color w:val="000000"/>
                <w:kern w:val="2"/>
                <w:sz w:val="24"/>
                <w:szCs w:val="24"/>
                <w:lang w:val="en-US" w:eastAsia="zh-CN" w:bidi="ar-SA"/>
              </w:rPr>
              <w:t>2</w:t>
            </w:r>
            <w:r>
              <w:rPr>
                <w:rFonts w:hint="eastAsia" w:ascii="宋体" w:hAnsi="宋体" w:eastAsia="宋体" w:cs="宋体"/>
                <w:color w:val="000000"/>
                <w:kern w:val="2"/>
                <w:sz w:val="24"/>
                <w:szCs w:val="24"/>
                <w:lang w:val="en-US" w:eastAsia="zh-CN" w:bidi="ar-SA"/>
              </w:rPr>
              <w:t>分</w:t>
            </w:r>
          </w:p>
        </w:tc>
        <w:tc>
          <w:tcPr>
            <w:tcW w:w="2542" w:type="pct"/>
            <w:noWrap w:val="0"/>
            <w:vAlign w:val="center"/>
          </w:tcPr>
          <w:p w14:paraId="6B7392FC">
            <w:pPr>
              <w:pStyle w:val="4"/>
              <w:keepNext w:val="0"/>
              <w:keepLines w:val="0"/>
              <w:pageBreakBefore w:val="0"/>
              <w:widowControl w:val="0"/>
              <w:tabs>
                <w:tab w:val="left" w:pos="600"/>
              </w:tabs>
              <w:kinsoku/>
              <w:wordWrap/>
              <w:overflowPunct/>
              <w:topLinePunct w:val="0"/>
              <w:autoSpaceDE/>
              <w:autoSpaceDN/>
              <w:bidi w:val="0"/>
              <w:adjustRightInd/>
              <w:snapToGrid w:val="0"/>
              <w:spacing w:after="0" w:line="240" w:lineRule="auto"/>
              <w:ind w:left="0" w:leftChars="0" w:right="0" w:rightChars="0" w:firstLine="480" w:firstLineChars="200"/>
              <w:jc w:val="left"/>
              <w:textAlignment w:val="auto"/>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供应商针对本项目提供系统应急方案，在发生通常故障时院方能快速应用备份策略，保证系统维持基本运转，直至系统恢复，方案包含：①系统故障恢复时间；②系统故障备用系统方案。每提供1项方案得</w:t>
            </w:r>
            <w:r>
              <w:rPr>
                <w:rFonts w:hint="eastAsia" w:ascii="宋体" w:hAnsi="宋体" w:cs="宋体"/>
                <w:color w:val="000000"/>
                <w:kern w:val="2"/>
                <w:sz w:val="24"/>
                <w:szCs w:val="24"/>
                <w:lang w:val="en-US" w:eastAsia="zh-CN" w:bidi="ar-SA"/>
              </w:rPr>
              <w:t>1</w:t>
            </w:r>
            <w:r>
              <w:rPr>
                <w:rFonts w:hint="eastAsia" w:ascii="宋体" w:hAnsi="宋体" w:eastAsia="宋体" w:cs="宋体"/>
                <w:color w:val="000000"/>
                <w:kern w:val="2"/>
                <w:sz w:val="24"/>
                <w:szCs w:val="24"/>
                <w:lang w:val="en-US" w:eastAsia="zh-CN" w:bidi="ar-SA"/>
              </w:rPr>
              <w:t>分，最多得</w:t>
            </w:r>
            <w:r>
              <w:rPr>
                <w:rFonts w:hint="eastAsia" w:ascii="宋体" w:hAnsi="宋体" w:cs="宋体"/>
                <w:color w:val="000000"/>
                <w:kern w:val="2"/>
                <w:sz w:val="24"/>
                <w:szCs w:val="24"/>
                <w:lang w:val="en-US" w:eastAsia="zh-CN" w:bidi="ar-SA"/>
              </w:rPr>
              <w:t>2</w:t>
            </w:r>
            <w:r>
              <w:rPr>
                <w:rFonts w:hint="eastAsia" w:ascii="宋体" w:hAnsi="宋体" w:eastAsia="宋体" w:cs="宋体"/>
                <w:color w:val="000000"/>
                <w:kern w:val="2"/>
                <w:sz w:val="24"/>
                <w:szCs w:val="24"/>
                <w:lang w:val="en-US" w:eastAsia="zh-CN" w:bidi="ar-SA"/>
              </w:rPr>
              <w:t>分，不提供不得分。其中每项方案有重大缺陷（重大缺陷指方案有违反现行法律法规的情形或仅有标题无响应内容）的，1项扣</w:t>
            </w:r>
            <w:r>
              <w:rPr>
                <w:rFonts w:hint="eastAsia" w:ascii="宋体" w:hAnsi="宋体" w:cs="宋体"/>
                <w:color w:val="000000"/>
                <w:kern w:val="2"/>
                <w:sz w:val="24"/>
                <w:szCs w:val="24"/>
                <w:lang w:val="en-US" w:eastAsia="zh-CN" w:bidi="ar-SA"/>
              </w:rPr>
              <w:t>1</w:t>
            </w:r>
            <w:r>
              <w:rPr>
                <w:rFonts w:hint="eastAsia" w:ascii="宋体" w:hAnsi="宋体" w:eastAsia="宋体" w:cs="宋体"/>
                <w:color w:val="000000"/>
                <w:kern w:val="2"/>
                <w:sz w:val="24"/>
                <w:szCs w:val="24"/>
                <w:lang w:val="en-US" w:eastAsia="zh-CN" w:bidi="ar-SA"/>
              </w:rPr>
              <w:t>分，扣完为止。每项存在如下4点一般缺陷的，每1点扣0.5分，扣完为止。一般缺陷指方案表述中存在与本项目无关的其他行业、其他区域地点、其他项目或前后内容相互矛盾。</w:t>
            </w:r>
          </w:p>
        </w:tc>
        <w:tc>
          <w:tcPr>
            <w:tcW w:w="379" w:type="pct"/>
            <w:noWrap w:val="0"/>
            <w:vAlign w:val="center"/>
          </w:tcPr>
          <w:p w14:paraId="1BC6A6CF">
            <w:pPr>
              <w:snapToGrid w:val="0"/>
              <w:ind w:left="0" w:leftChars="0" w:right="0" w:rightChars="0" w:firstLine="0" w:firstLineChars="0"/>
              <w:jc w:val="left"/>
              <w:rPr>
                <w:rFonts w:hint="eastAsia" w:ascii="宋体" w:hAnsi="宋体" w:eastAsia="宋体" w:cs="宋体"/>
                <w:color w:val="000000"/>
                <w:sz w:val="24"/>
                <w:szCs w:val="24"/>
              </w:rPr>
            </w:pPr>
          </w:p>
        </w:tc>
      </w:tr>
    </w:tbl>
    <w:p w14:paraId="3AD0EEE4">
      <w:pPr>
        <w:pStyle w:val="4"/>
      </w:pPr>
    </w:p>
    <w:p w14:paraId="229276B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BC792"/>
    <w:multiLevelType w:val="singleLevel"/>
    <w:tmpl w:val="ABEBC792"/>
    <w:lvl w:ilvl="0" w:tentative="0">
      <w:start w:val="1"/>
      <w:numFmt w:val="decimal"/>
      <w:lvlText w:val="%1."/>
      <w:lvlJc w:val="left"/>
      <w:pPr>
        <w:ind w:left="425" w:hanging="425"/>
      </w:pPr>
      <w:rPr>
        <w:rFonts w:hint="default"/>
      </w:rPr>
    </w:lvl>
  </w:abstractNum>
  <w:abstractNum w:abstractNumId="1">
    <w:nsid w:val="E9E0A5F8"/>
    <w:multiLevelType w:val="singleLevel"/>
    <w:tmpl w:val="E9E0A5F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B65653"/>
    <w:rsid w:val="2D417950"/>
    <w:rsid w:val="41DD63C5"/>
    <w:rsid w:val="46BD16EE"/>
    <w:rsid w:val="7F7E6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cs="Times New Roman"/>
      <w:b/>
      <w:bCs/>
      <w:sz w:val="32"/>
      <w:szCs w:val="32"/>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next w:val="1"/>
    <w:unhideWhenUsed/>
    <w:qFormat/>
    <w:uiPriority w:val="0"/>
    <w:pPr>
      <w:spacing w:after="120"/>
    </w:pPr>
  </w:style>
  <w:style w:type="paragraph" w:styleId="5">
    <w:name w:val="Body Text Indent"/>
    <w:basedOn w:val="1"/>
    <w:qFormat/>
    <w:uiPriority w:val="0"/>
    <w:pPr>
      <w:ind w:firstLine="630"/>
    </w:pPr>
    <w:rPr>
      <w:rFonts w:eastAsia="宋体"/>
      <w:sz w:val="32"/>
    </w:rPr>
  </w:style>
  <w:style w:type="paragraph" w:customStyle="1" w:styleId="8">
    <w:name w:val="null3"/>
    <w:qFormat/>
    <w:uiPriority w:val="0"/>
    <w:rPr>
      <w:rFonts w:hint="eastAsia" w:ascii="Calibri" w:hAnsi="Calibri" w:eastAsia="宋体" w:cs="Times New Roman"/>
      <w:lang w:val="en-US" w:eastAsia="zh-Hans"/>
    </w:rPr>
  </w:style>
  <w:style w:type="paragraph" w:customStyle="1" w:styleId="9">
    <w:name w:val="样式 正文首行缩进 + 首行缩进:  2 字符1 Char Char"/>
    <w:qFormat/>
    <w:uiPriority w:val="0"/>
    <w:pPr>
      <w:widowControl w:val="0"/>
      <w:adjustRightInd w:val="0"/>
      <w:spacing w:line="400" w:lineRule="exact"/>
      <w:ind w:firstLine="480" w:firstLineChars="200"/>
      <w:jc w:val="both"/>
      <w:textAlignment w:val="baseline"/>
    </w:pPr>
    <w:rPr>
      <w:rFonts w:ascii="宋体" w:hAnsi="宋体" w:eastAsia="仿宋_GB2312" w:cs="宋体"/>
      <w:color w:val="000000"/>
      <w:kern w:val="2"/>
      <w:sz w:val="26"/>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7474</Words>
  <Characters>7629</Characters>
  <Lines>0</Lines>
  <Paragraphs>0</Paragraphs>
  <TotalTime>21</TotalTime>
  <ScaleCrop>false</ScaleCrop>
  <LinksUpToDate>false</LinksUpToDate>
  <CharactersWithSpaces>7660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2026-09-15T02:49:00Z</dcterms:created>
  <dc:creator>Administrator</dc:creator>
  <cp:lastModifiedBy>王鹏</cp:lastModifiedBy>
  <dcterms:modified xsi:type="dcterms:W3CDTF">2026-10-12T08:37:13Z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eyJoZGlkIjoiN2ZjOGE3YWIwOGFhYmI5OWZhOWM1MDRkZTdiYTJmNWMiLCJ1c2VySWQiOiIxNjU3MTAwNzU2In0=</vt:lpwstr>
  </property>
  <property fmtid="{D5CDD505-2E9C-101B-9397-08002B2CF9AE}" pid="4" name="ICV">
    <vt:lpwstr>A65149F714E04072BC38E7F537E66E18_13</vt:lpwstr>
  </property>
</Properties>
</file>