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EA95B">
      <w:pPr>
        <w:spacing w:before="0" w:after="400" w:line="660" w:lineRule="exact"/>
        <w:jc w:val="left"/>
        <w:rPr>
          <w:rFonts w:ascii="Times New Roman" w:hAnsi="Times New Roman" w:eastAsia="黑体"/>
          <w:b w:val="0"/>
          <w:color w:val="000000"/>
          <w:sz w:val="32"/>
          <w:szCs w:val="32"/>
        </w:rPr>
      </w:pPr>
      <w:r>
        <w:rPr>
          <w:rFonts w:ascii="Times New Roman" w:hAnsi="Times New Roman" w:eastAsia="黑体"/>
          <w:b w:val="0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b w:val="0"/>
          <w:color w:val="00000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/>
          <w:b w:val="0"/>
          <w:color w:val="000000"/>
          <w:sz w:val="32"/>
          <w:szCs w:val="32"/>
        </w:rPr>
        <w:t>：</w:t>
      </w:r>
    </w:p>
    <w:p w14:paraId="7FA911E1">
      <w:pPr>
        <w:spacing w:before="0" w:after="400" w:line="660" w:lineRule="exact"/>
        <w:jc w:val="center"/>
      </w:pPr>
      <w:r>
        <w:rPr>
          <w:rFonts w:ascii="Times New Roman" w:hAnsi="Times New Roman" w:eastAsia="黑体"/>
          <w:b w:val="0"/>
          <w:color w:val="000000"/>
          <w:sz w:val="44"/>
        </w:rPr>
        <w:t>食堂场地及就餐环境改造技术要求</w:t>
      </w:r>
    </w:p>
    <w:p w14:paraId="0E5FA449">
      <w:pPr>
        <w:spacing w:before="0" w:after="0" w:line="560" w:lineRule="exact"/>
        <w:ind w:firstLine="640"/>
      </w:pPr>
      <w:r>
        <w:rPr>
          <w:rFonts w:ascii="Times New Roman" w:hAnsi="Times New Roman" w:eastAsia="黑体"/>
          <w:b w:val="0"/>
          <w:color w:val="000000"/>
          <w:sz w:val="32"/>
        </w:rPr>
        <w:t>一、总则</w:t>
      </w:r>
    </w:p>
    <w:p w14:paraId="53D9B222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（一）本改造由中标供应商全额投资实施，改造方案须符合《中华人民共和国食品安全法》《食品安全国家标准　餐饮服务通用卫生规范》（GB 31654—2021）、《集中用餐单位落实食品安全主体责任监督管理规定》（市场监管总局令第98号）、建筑消防规范、医院院感管理相关规定，方案图纸、材料清单、施工组织设计报送院方审核，审核通过后方可开工，严禁改动建筑主体、承重结构。</w:t>
      </w:r>
    </w:p>
    <w:p w14:paraId="5539C0BA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（二）改造范围：厨房操作间、粗加工间、洗消间、库房、更衣间、备餐间、就餐大厅</w:t>
      </w:r>
      <w:r>
        <w:rPr>
          <w:rFonts w:hint="eastAsia" w:ascii="Times New Roman" w:hAnsi="Times New Roman" w:eastAsia="仿宋"/>
          <w:b w:val="0"/>
          <w:color w:val="000000"/>
          <w:sz w:val="32"/>
          <w:lang w:eastAsia="zh-CN"/>
        </w:rPr>
        <w:t>（职工就餐区、患者就餐区）</w:t>
      </w:r>
      <w:r>
        <w:rPr>
          <w:rFonts w:ascii="Times New Roman" w:hAnsi="Times New Roman" w:eastAsia="仿宋"/>
          <w:b w:val="0"/>
          <w:color w:val="000000"/>
          <w:sz w:val="32"/>
        </w:rPr>
        <w:t>、走廊、卫生间、排烟排污系统、水电系统、明厨亮灶、标识标牌等食堂全部区域。</w:t>
      </w:r>
    </w:p>
    <w:p w14:paraId="1E5D1E31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（三）改造完成后须自行组织竣工验收，满足食品安全、消防、院感相关验收要求。不动产固定装修附着物（墙地面、吊顶、门窗、排烟管道、水电管线等）合同到期无偿归属院方；可移动设备按合同约定处置。</w:t>
      </w:r>
    </w:p>
    <w:p w14:paraId="098F0127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（四）施工期间须</w:t>
      </w:r>
      <w:bookmarkStart w:id="0" w:name="_GoBack"/>
      <w:bookmarkEnd w:id="0"/>
      <w:r>
        <w:rPr>
          <w:rFonts w:ascii="Times New Roman" w:hAnsi="Times New Roman" w:eastAsia="仿宋"/>
          <w:b w:val="0"/>
          <w:color w:val="000000"/>
          <w:sz w:val="32"/>
        </w:rPr>
        <w:t>落实院感、降噪、防尘、垃圾清运措施，不得影响医院正常诊疗秩序。</w:t>
      </w:r>
    </w:p>
    <w:p w14:paraId="64BD1EF4">
      <w:pPr>
        <w:spacing w:before="0" w:after="0" w:line="560" w:lineRule="exact"/>
        <w:ind w:firstLine="640"/>
      </w:pPr>
      <w:r>
        <w:rPr>
          <w:rFonts w:ascii="Times New Roman" w:hAnsi="Times New Roman" w:eastAsia="黑体"/>
          <w:b w:val="0"/>
          <w:color w:val="000000"/>
          <w:sz w:val="32"/>
        </w:rPr>
        <w:t>二、厨房操作区域改造要求</w:t>
      </w:r>
    </w:p>
    <w:p w14:paraId="43C4CB9F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（一）地面：采用防滑、防水、耐油污地砖，做排水坡度及防水处理，设置地沟、隔油设施，盖板坚固易清洗。</w:t>
      </w:r>
    </w:p>
    <w:p w14:paraId="7F6699C3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（二）墙面：墙砖到顶，光滑耐擦洗；吊顶采用防水、防霉变、防火板材。</w:t>
      </w:r>
    </w:p>
    <w:p w14:paraId="4927F852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（三）给排水：增设、改造给水排水管道，安装止水、防回流设施，设置独立隔油池。</w:t>
      </w:r>
    </w:p>
    <w:p w14:paraId="10BD7FA4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（四）通风排烟：重新优化排烟系统，油烟达标排放，配备新风，降噪处理。</w:t>
      </w:r>
    </w:p>
    <w:p w14:paraId="7B36E54D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（五）功能分区：严格按照生进熟出流程划分粗加工、切配、烹饪、备餐、洗消、仓储区域，设置专间。</w:t>
      </w:r>
    </w:p>
    <w:p w14:paraId="15CEA763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（六）明厨亮灶：按要求安装监控，视频可实时展示厨房操作，监控系统接入院方指定端口。</w:t>
      </w:r>
    </w:p>
    <w:p w14:paraId="1B5E3F2E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（七）消毒设施：配备满足规模的餐具清洗、热力消毒、保洁存放设施。</w:t>
      </w:r>
    </w:p>
    <w:p w14:paraId="0E2F9392">
      <w:pPr>
        <w:spacing w:before="0" w:after="0" w:line="560" w:lineRule="exact"/>
        <w:ind w:firstLine="640"/>
      </w:pPr>
      <w:r>
        <w:rPr>
          <w:rFonts w:ascii="Times New Roman" w:hAnsi="Times New Roman" w:eastAsia="黑体"/>
          <w:b w:val="0"/>
          <w:color w:val="000000"/>
          <w:sz w:val="32"/>
        </w:rPr>
        <w:t>三、就餐环境改造要求</w:t>
      </w:r>
    </w:p>
    <w:p w14:paraId="0B07F1C2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（一）就餐大厅：墙面翻新、吊顶修缮、地面修复，更换或新增符合医用环境要求的餐桌椅。</w:t>
      </w:r>
    </w:p>
    <w:p w14:paraId="3E3EFBE7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（二）照明、通风优化，合理设置取餐窗口、排队隔离、标识标牌。</w:t>
      </w:r>
    </w:p>
    <w:p w14:paraId="4B4B652E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（三）增设垃圾分类收纳、洗手设施。</w:t>
      </w:r>
    </w:p>
    <w:p w14:paraId="5885A41F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（四）整体环境整洁美观、降噪处理，符合医院整体形象。</w:t>
      </w:r>
    </w:p>
    <w:p w14:paraId="7C1489D6">
      <w:pPr>
        <w:spacing w:before="0" w:after="0" w:line="560" w:lineRule="exact"/>
        <w:ind w:firstLine="640"/>
      </w:pPr>
      <w:r>
        <w:rPr>
          <w:rFonts w:ascii="Times New Roman" w:hAnsi="Times New Roman" w:eastAsia="黑体"/>
          <w:b w:val="0"/>
          <w:color w:val="000000"/>
          <w:sz w:val="32"/>
        </w:rPr>
        <w:t>四、院感、消防及其他</w:t>
      </w:r>
    </w:p>
    <w:p w14:paraId="1F46F963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（一）所有材料环保阻燃，符合消防要求，电线、配电箱规范布设。</w:t>
      </w:r>
    </w:p>
    <w:p w14:paraId="1E403C3F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（二）设置员工二次更衣间、洗手消毒设施。</w:t>
      </w:r>
    </w:p>
    <w:p w14:paraId="5B21FB0C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（三）防鼠、防蝇、防虫设施齐全有效。</w:t>
      </w:r>
    </w:p>
    <w:p w14:paraId="4344162B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（四）施工全过程做好成品保护，施工产生建筑垃圾由供应商清运出场。</w:t>
      </w:r>
    </w:p>
    <w:p w14:paraId="0D4CD900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（五）改造工期由供应商在方案中列明，施工计划须经院方同意，尽量避开医院就诊高峰。</w:t>
      </w:r>
    </w:p>
    <w:p w14:paraId="52A0D8A4">
      <w:pPr>
        <w:spacing w:before="0" w:after="0" w:line="560" w:lineRule="exact"/>
        <w:ind w:firstLine="640"/>
      </w:pPr>
      <w:r>
        <w:rPr>
          <w:rFonts w:ascii="Times New Roman" w:hAnsi="Times New Roman" w:eastAsia="黑体"/>
          <w:b w:val="0"/>
          <w:color w:val="000000"/>
          <w:sz w:val="32"/>
        </w:rPr>
        <w:t>五、其他说明</w:t>
      </w:r>
    </w:p>
    <w:p w14:paraId="4406DA91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本技术要求为基础框架，供应商现场踏勘后可结合现场实际，在方案内优化完善，但不得低于本技术要求最低标准。</w:t>
      </w:r>
    </w:p>
    <w:p w14:paraId="6A373503"/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BA1B7F"/>
    <w:rsid w:val="705A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1013</Words>
  <Characters>1024</Characters>
  <Lines>0</Lines>
  <Paragraphs>0</Paragraphs>
  <TotalTime>1</TotalTime>
  <ScaleCrop>false</ScaleCrop>
  <LinksUpToDate>false</LinksUpToDate>
  <CharactersWithSpaces>1026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2026-10-20T02:33:00Z</dcterms:created>
  <dc:creator>Administrator</dc:creator>
  <cp:lastModifiedBy>常宁</cp:lastModifiedBy>
  <dcterms:modified xsi:type="dcterms:W3CDTF">2026-10-20T02:35:41Z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eyJoZGlkIjoiMDQ5ZWIwZTAwZTRjMzcwM2MzZjgxODg2ZmZmYjNjNDEiLCJ1c2VySWQiOiIyNzAzMDAxNDAifQ==</vt:lpwstr>
  </property>
  <property fmtid="{D5CDD505-2E9C-101B-9397-08002B2CF9AE}" pid="4" name="ICV">
    <vt:lpwstr>3066555AC9DA4D47AECF107C710BB913_12</vt:lpwstr>
  </property>
</Properties>
</file>